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7B51E">
      <w:pPr>
        <w:autoSpaceDE w:val="0"/>
        <w:autoSpaceDN w:val="0"/>
        <w:spacing w:line="360" w:lineRule="auto"/>
        <w:jc w:val="center"/>
        <w:textAlignment w:val="bottom"/>
        <w:outlineLvl w:val="0"/>
        <w:rPr>
          <w:rFonts w:ascii="宋体" w:hAnsi="宋体"/>
          <w:b/>
          <w:sz w:val="84"/>
        </w:rPr>
      </w:pPr>
      <w:r>
        <w:rPr>
          <w:rFonts w:hint="eastAsia" w:ascii="宋体" w:hAnsi="宋体"/>
          <w:b/>
          <w:sz w:val="84"/>
        </w:rPr>
        <w:t xml:space="preserve">   </w:t>
      </w:r>
    </w:p>
    <w:p w14:paraId="3E3D7754">
      <w:pPr>
        <w:autoSpaceDE w:val="0"/>
        <w:autoSpaceDN w:val="0"/>
        <w:spacing w:line="360" w:lineRule="auto"/>
        <w:jc w:val="center"/>
        <w:textAlignment w:val="bottom"/>
        <w:outlineLvl w:val="0"/>
        <w:rPr>
          <w:rFonts w:ascii="宋体" w:hAnsi="宋体"/>
          <w:b/>
          <w:sz w:val="36"/>
        </w:rPr>
      </w:pPr>
      <w:r>
        <w:rPr>
          <w:rFonts w:hint="eastAsia" w:ascii="宋体" w:hAnsi="宋体"/>
          <w:b/>
          <w:sz w:val="84"/>
        </w:rPr>
        <w:t xml:space="preserve"> 竞争性磋商文件</w:t>
      </w:r>
    </w:p>
    <w:p w14:paraId="219662EA">
      <w:pPr>
        <w:autoSpaceDE w:val="0"/>
        <w:autoSpaceDN w:val="0"/>
        <w:spacing w:line="360" w:lineRule="auto"/>
        <w:textAlignment w:val="bottom"/>
        <w:outlineLvl w:val="0"/>
        <w:rPr>
          <w:rFonts w:ascii="宋体" w:hAnsi="宋体"/>
          <w:b/>
          <w:sz w:val="36"/>
        </w:rPr>
      </w:pPr>
    </w:p>
    <w:p w14:paraId="07B88BC5">
      <w:pPr>
        <w:autoSpaceDE w:val="0"/>
        <w:autoSpaceDN w:val="0"/>
        <w:spacing w:line="360" w:lineRule="auto"/>
        <w:textAlignment w:val="bottom"/>
        <w:outlineLvl w:val="0"/>
        <w:rPr>
          <w:rFonts w:ascii="宋体" w:hAnsi="宋体"/>
          <w:b/>
          <w:sz w:val="36"/>
        </w:rPr>
      </w:pPr>
    </w:p>
    <w:p w14:paraId="50C705B3">
      <w:pPr>
        <w:autoSpaceDE w:val="0"/>
        <w:autoSpaceDN w:val="0"/>
        <w:spacing w:line="360" w:lineRule="auto"/>
        <w:textAlignment w:val="bottom"/>
        <w:outlineLvl w:val="0"/>
        <w:rPr>
          <w:rFonts w:ascii="宋体" w:hAnsi="宋体"/>
          <w:b/>
          <w:sz w:val="36"/>
        </w:rPr>
      </w:pPr>
    </w:p>
    <w:p w14:paraId="5A5EB0CB">
      <w:pPr>
        <w:autoSpaceDE w:val="0"/>
        <w:autoSpaceDN w:val="0"/>
        <w:spacing w:line="360" w:lineRule="auto"/>
        <w:ind w:right="-210" w:rightChars="-100"/>
        <w:jc w:val="center"/>
        <w:textAlignment w:val="bottom"/>
        <w:outlineLvl w:val="0"/>
        <w:rPr>
          <w:rFonts w:ascii="宋体" w:hAnsi="宋体"/>
          <w:b/>
          <w:sz w:val="36"/>
        </w:rPr>
      </w:pPr>
      <w:r>
        <w:rPr>
          <w:rFonts w:hint="eastAsia" w:ascii="宋体" w:hAnsi="宋体"/>
          <w:b/>
          <w:sz w:val="36"/>
        </w:rPr>
        <w:t>项目名称：2025丽水学院现代教育设施维护外包服务</w:t>
      </w:r>
    </w:p>
    <w:p w14:paraId="05B6912D">
      <w:pPr>
        <w:autoSpaceDE w:val="0"/>
        <w:autoSpaceDN w:val="0"/>
        <w:spacing w:line="360" w:lineRule="auto"/>
        <w:ind w:left="1428" w:leftChars="680" w:right="-210" w:rightChars="-100"/>
        <w:jc w:val="center"/>
        <w:textAlignment w:val="bottom"/>
        <w:outlineLvl w:val="0"/>
        <w:rPr>
          <w:rFonts w:ascii="宋体" w:hAnsi="宋体"/>
          <w:b/>
          <w:sz w:val="36"/>
        </w:rPr>
      </w:pPr>
    </w:p>
    <w:p w14:paraId="107561E4">
      <w:pPr>
        <w:autoSpaceDE w:val="0"/>
        <w:autoSpaceDN w:val="0"/>
        <w:spacing w:line="360" w:lineRule="auto"/>
        <w:jc w:val="center"/>
        <w:textAlignment w:val="bottom"/>
        <w:outlineLvl w:val="0"/>
        <w:rPr>
          <w:rFonts w:ascii="宋体" w:hAnsi="宋体"/>
          <w:b/>
          <w:sz w:val="36"/>
        </w:rPr>
      </w:pPr>
      <w:r>
        <w:rPr>
          <w:rFonts w:hint="eastAsia" w:ascii="宋体" w:hAnsi="宋体"/>
          <w:b/>
          <w:sz w:val="36"/>
        </w:rPr>
        <w:t>采 购 人：丽水学院</w:t>
      </w:r>
    </w:p>
    <w:p w14:paraId="3B07D271">
      <w:pPr>
        <w:spacing w:line="360" w:lineRule="auto"/>
        <w:rPr>
          <w:rFonts w:ascii="宋体" w:hAnsi="宋体"/>
          <w:b/>
          <w:sz w:val="36"/>
        </w:rPr>
      </w:pPr>
    </w:p>
    <w:p w14:paraId="60E1BB10">
      <w:pPr>
        <w:spacing w:line="360" w:lineRule="auto"/>
        <w:rPr>
          <w:rFonts w:ascii="宋体" w:hAnsi="宋体"/>
          <w:b/>
          <w:sz w:val="36"/>
        </w:rPr>
      </w:pPr>
    </w:p>
    <w:p w14:paraId="013926A6">
      <w:pPr>
        <w:autoSpaceDE w:val="0"/>
        <w:autoSpaceDN w:val="0"/>
        <w:spacing w:line="360" w:lineRule="auto"/>
        <w:textAlignment w:val="bottom"/>
        <w:rPr>
          <w:rFonts w:ascii="宋体" w:hAnsi="宋体"/>
          <w:b/>
          <w:sz w:val="36"/>
        </w:rPr>
      </w:pPr>
    </w:p>
    <w:p w14:paraId="4938D57E">
      <w:pPr>
        <w:spacing w:line="480" w:lineRule="auto"/>
        <w:jc w:val="center"/>
        <w:rPr>
          <w:rFonts w:ascii="宋体" w:hAnsi="宋体"/>
        </w:rPr>
      </w:pPr>
      <w:r>
        <w:rPr>
          <w:rFonts w:hint="eastAsia" w:ascii="宋体" w:hAnsi="宋体"/>
          <w:b/>
          <w:sz w:val="36"/>
        </w:rPr>
        <w:t>二〇二五年五月</w:t>
      </w:r>
    </w:p>
    <w:p w14:paraId="163E93BB">
      <w:pPr>
        <w:pStyle w:val="16"/>
        <w:tabs>
          <w:tab w:val="left" w:pos="2934"/>
          <w:tab w:val="center" w:pos="4535"/>
        </w:tabs>
        <w:spacing w:line="276" w:lineRule="auto"/>
        <w:jc w:val="left"/>
        <w:rPr>
          <w:rFonts w:ascii="宋体" w:hAnsi="宋体" w:eastAsia="宋体"/>
          <w:b/>
          <w:szCs w:val="28"/>
        </w:rPr>
      </w:pPr>
      <w:r>
        <w:rPr>
          <w:rFonts w:ascii="宋体" w:hAnsi="宋体" w:eastAsia="宋体"/>
          <w:b/>
          <w:szCs w:val="28"/>
        </w:rPr>
        <w:tab/>
      </w:r>
      <w:r>
        <w:rPr>
          <w:rFonts w:ascii="宋体" w:hAnsi="宋体" w:eastAsia="宋体"/>
          <w:b/>
          <w:szCs w:val="28"/>
        </w:rPr>
        <w:tab/>
      </w:r>
    </w:p>
    <w:p w14:paraId="50852DF7">
      <w:pPr>
        <w:pStyle w:val="3"/>
        <w:keepNext w:val="0"/>
        <w:spacing w:before="0" w:afterLines="50" w:line="240" w:lineRule="auto"/>
        <w:rPr>
          <w:rFonts w:ascii="宋体" w:hAnsi="宋体" w:eastAsia="宋体"/>
        </w:rPr>
      </w:pPr>
      <w:r>
        <w:rPr>
          <w:rFonts w:ascii="宋体" w:hAnsi="宋体" w:eastAsia="宋体"/>
          <w:b w:val="0"/>
          <w:szCs w:val="28"/>
        </w:rPr>
        <w:br w:type="page"/>
      </w:r>
      <w:bookmarkStart w:id="0" w:name="_Toc112339143"/>
      <w:bookmarkStart w:id="1" w:name="_Toc391969406"/>
      <w:bookmarkStart w:id="2" w:name="_Toc145493459"/>
      <w:r>
        <w:rPr>
          <w:rFonts w:ascii="宋体" w:hAnsi="宋体" w:eastAsia="宋体"/>
        </w:rPr>
        <w:t>第一章  综合说明</w:t>
      </w:r>
      <w:bookmarkEnd w:id="0"/>
      <w:bookmarkEnd w:id="1"/>
      <w:bookmarkEnd w:id="2"/>
    </w:p>
    <w:p w14:paraId="002D615B">
      <w:pPr>
        <w:pStyle w:val="4"/>
        <w:tabs>
          <w:tab w:val="left" w:pos="1080"/>
        </w:tabs>
        <w:spacing w:line="240" w:lineRule="auto"/>
        <w:ind w:firstLine="0" w:firstLineChars="0"/>
        <w:jc w:val="center"/>
        <w:rPr>
          <w:rFonts w:ascii="宋体" w:hAnsi="宋体" w:eastAsia="宋体"/>
        </w:rPr>
      </w:pPr>
      <w:bookmarkStart w:id="3" w:name="_Toc391969407"/>
      <w:bookmarkStart w:id="4" w:name="_Toc145493460"/>
      <w:bookmarkStart w:id="5" w:name="_Toc112339144"/>
      <w:r>
        <w:rPr>
          <w:rFonts w:hint="eastAsia" w:ascii="宋体" w:hAnsi="宋体" w:eastAsia="宋体"/>
        </w:rPr>
        <w:t>竞争性磋商</w:t>
      </w:r>
      <w:bookmarkEnd w:id="3"/>
      <w:bookmarkEnd w:id="4"/>
      <w:r>
        <w:rPr>
          <w:rFonts w:hint="eastAsia" w:ascii="宋体" w:hAnsi="宋体" w:eastAsia="宋体"/>
        </w:rPr>
        <w:t>公告</w:t>
      </w:r>
      <w:bookmarkEnd w:id="5"/>
    </w:p>
    <w:p w14:paraId="07C93872">
      <w:pPr>
        <w:spacing w:line="360" w:lineRule="auto"/>
        <w:jc w:val="left"/>
        <w:rPr>
          <w:rFonts w:ascii="宋体" w:hAnsi="宋体" w:cs="仿宋_GB2312"/>
          <w:b/>
          <w:sz w:val="24"/>
        </w:rPr>
      </w:pPr>
      <w:bookmarkStart w:id="6" w:name="_Toc28359079"/>
      <w:bookmarkStart w:id="7" w:name="_Toc28359002"/>
      <w:bookmarkStart w:id="8" w:name="_Toc35393790"/>
      <w:bookmarkStart w:id="9" w:name="_Toc35393621"/>
      <w:bookmarkStart w:id="10" w:name="_Hlk24379207"/>
      <w:bookmarkStart w:id="11" w:name="EBf1e27c6183244f4a8f3fc355defd653e"/>
      <w:r>
        <w:rPr>
          <w:rFonts w:hint="eastAsia" w:ascii="宋体" w:hAnsi="宋体" w:cs="仿宋_GB2312"/>
          <w:b/>
          <w:sz w:val="24"/>
        </w:rPr>
        <w:t>一、项目基本情况</w:t>
      </w:r>
      <w:bookmarkEnd w:id="6"/>
      <w:bookmarkEnd w:id="7"/>
      <w:bookmarkEnd w:id="8"/>
      <w:bookmarkEnd w:id="9"/>
    </w:p>
    <w:bookmarkEnd w:id="10"/>
    <w:p w14:paraId="04E10065">
      <w:pPr>
        <w:spacing w:line="360" w:lineRule="auto"/>
        <w:ind w:left="1679" w:leftChars="228" w:hanging="1200" w:hangingChars="500"/>
        <w:rPr>
          <w:rFonts w:ascii="宋体" w:hAnsi="宋体" w:cs="仿宋_GB2312"/>
          <w:sz w:val="24"/>
        </w:rPr>
      </w:pPr>
      <w:r>
        <w:rPr>
          <w:rFonts w:hint="eastAsia" w:ascii="宋体" w:hAnsi="宋体" w:cs="仿宋_GB2312"/>
          <w:sz w:val="24"/>
        </w:rPr>
        <w:t>项目名称：2025丽水学院现代教育设施维护外包服务</w:t>
      </w:r>
    </w:p>
    <w:p w14:paraId="3D9DF011">
      <w:pPr>
        <w:spacing w:line="360" w:lineRule="auto"/>
        <w:ind w:firstLine="480" w:firstLineChars="200"/>
        <w:rPr>
          <w:rFonts w:ascii="宋体" w:hAnsi="宋体" w:cs="仿宋_GB2312"/>
          <w:sz w:val="24"/>
        </w:rPr>
      </w:pPr>
      <w:r>
        <w:rPr>
          <w:rFonts w:ascii="宋体" w:hAnsi="宋体" w:cs="仿宋_GB2312"/>
          <w:sz w:val="24"/>
        </w:rPr>
        <w:t>采购方式：竞争性磋商</w:t>
      </w:r>
    </w:p>
    <w:p w14:paraId="348D9E68">
      <w:pPr>
        <w:spacing w:line="360" w:lineRule="auto"/>
        <w:ind w:firstLine="480" w:firstLineChars="200"/>
        <w:rPr>
          <w:rFonts w:ascii="宋体" w:hAnsi="宋体" w:cs="仿宋_GB2312"/>
          <w:sz w:val="24"/>
        </w:rPr>
      </w:pPr>
      <w:r>
        <w:rPr>
          <w:rFonts w:ascii="宋体" w:hAnsi="宋体" w:cs="仿宋_GB2312"/>
          <w:sz w:val="24"/>
        </w:rPr>
        <w:t>预算金额（元）：99000</w:t>
      </w:r>
    </w:p>
    <w:p w14:paraId="713829F7">
      <w:pPr>
        <w:spacing w:line="360" w:lineRule="auto"/>
        <w:ind w:firstLine="480" w:firstLineChars="200"/>
        <w:rPr>
          <w:rFonts w:ascii="宋体" w:hAnsi="宋体" w:cs="仿宋_GB2312"/>
          <w:sz w:val="24"/>
        </w:rPr>
      </w:pPr>
      <w:r>
        <w:rPr>
          <w:rFonts w:ascii="宋体" w:hAnsi="宋体" w:cs="仿宋_GB2312"/>
          <w:sz w:val="24"/>
        </w:rPr>
        <w:t>最高限价（元）：99000</w:t>
      </w:r>
    </w:p>
    <w:p w14:paraId="6938371D">
      <w:pPr>
        <w:spacing w:line="360" w:lineRule="auto"/>
        <w:ind w:firstLine="480" w:firstLineChars="200"/>
        <w:rPr>
          <w:rFonts w:ascii="宋体" w:hAnsi="宋体" w:cs="仿宋_GB2312"/>
          <w:sz w:val="24"/>
        </w:rPr>
      </w:pPr>
      <w:r>
        <w:rPr>
          <w:rFonts w:hint="eastAsia" w:ascii="宋体" w:hAnsi="宋体" w:cs="仿宋_GB2312"/>
          <w:sz w:val="24"/>
        </w:rPr>
        <w:t>服务期限：202</w:t>
      </w:r>
      <w:r>
        <w:rPr>
          <w:rFonts w:ascii="宋体" w:hAnsi="宋体" w:cs="仿宋_GB2312"/>
          <w:sz w:val="24"/>
        </w:rPr>
        <w:t>5</w:t>
      </w:r>
      <w:r>
        <w:rPr>
          <w:rFonts w:hint="eastAsia" w:ascii="宋体" w:hAnsi="宋体" w:cs="仿宋_GB2312"/>
          <w:sz w:val="24"/>
        </w:rPr>
        <w:t>年</w:t>
      </w:r>
      <w:r>
        <w:rPr>
          <w:rFonts w:ascii="宋体" w:hAnsi="宋体" w:cs="仿宋_GB2312"/>
          <w:sz w:val="24"/>
        </w:rPr>
        <w:t>7</w:t>
      </w:r>
      <w:r>
        <w:rPr>
          <w:rFonts w:hint="eastAsia" w:ascii="宋体" w:hAnsi="宋体" w:cs="仿宋_GB2312"/>
          <w:sz w:val="24"/>
        </w:rPr>
        <w:t>月1日-202</w:t>
      </w:r>
      <w:r>
        <w:rPr>
          <w:rFonts w:ascii="宋体" w:hAnsi="宋体" w:cs="仿宋_GB2312"/>
          <w:sz w:val="24"/>
        </w:rPr>
        <w:t>5</w:t>
      </w:r>
      <w:r>
        <w:rPr>
          <w:rFonts w:hint="eastAsia" w:ascii="宋体" w:hAnsi="宋体" w:cs="仿宋_GB2312"/>
          <w:sz w:val="24"/>
        </w:rPr>
        <w:t>年12月31日</w:t>
      </w:r>
    </w:p>
    <w:p w14:paraId="64EB37DA">
      <w:pPr>
        <w:spacing w:line="360" w:lineRule="auto"/>
        <w:ind w:firstLine="480" w:firstLineChars="200"/>
        <w:rPr>
          <w:rFonts w:ascii="宋体" w:hAnsi="宋体" w:cs="仿宋_GB2312"/>
          <w:sz w:val="24"/>
        </w:rPr>
      </w:pPr>
      <w:r>
        <w:rPr>
          <w:rFonts w:ascii="宋体" w:hAnsi="宋体" w:cs="仿宋_GB2312"/>
          <w:sz w:val="24"/>
        </w:rPr>
        <w:t>本项目</w:t>
      </w:r>
      <w:r>
        <w:rPr>
          <w:rFonts w:hint="eastAsia" w:ascii="宋体" w:hAnsi="宋体" w:cs="仿宋_GB2312"/>
          <w:sz w:val="24"/>
        </w:rPr>
        <w:t>不</w:t>
      </w:r>
      <w:r>
        <w:rPr>
          <w:rFonts w:ascii="宋体" w:hAnsi="宋体" w:cs="仿宋_GB2312"/>
          <w:sz w:val="24"/>
        </w:rPr>
        <w:t>接受联合体投标</w:t>
      </w:r>
      <w:r>
        <w:rPr>
          <w:rFonts w:hint="eastAsia" w:ascii="宋体" w:hAnsi="宋体"/>
          <w:sz w:val="24"/>
        </w:rPr>
        <w:t>。</w:t>
      </w:r>
    </w:p>
    <w:p w14:paraId="510E74CD">
      <w:pPr>
        <w:spacing w:line="360" w:lineRule="auto"/>
        <w:jc w:val="left"/>
        <w:rPr>
          <w:rFonts w:ascii="宋体" w:hAnsi="宋体" w:cs="仿宋_GB2312"/>
          <w:b/>
          <w:sz w:val="24"/>
        </w:rPr>
      </w:pPr>
      <w:bookmarkStart w:id="12" w:name="_Toc28359003"/>
      <w:bookmarkStart w:id="13" w:name="_Toc28359080"/>
      <w:bookmarkStart w:id="14" w:name="_Toc35393791"/>
      <w:bookmarkStart w:id="15" w:name="_Toc35393622"/>
      <w:r>
        <w:rPr>
          <w:rFonts w:hint="eastAsia" w:ascii="宋体" w:hAnsi="宋体" w:cs="仿宋_GB2312"/>
          <w:b/>
          <w:sz w:val="24"/>
        </w:rPr>
        <w:t>二、申请人的资格要求</w:t>
      </w:r>
      <w:bookmarkEnd w:id="12"/>
      <w:bookmarkEnd w:id="13"/>
      <w:bookmarkEnd w:id="14"/>
      <w:bookmarkEnd w:id="15"/>
    </w:p>
    <w:p w14:paraId="3F9A856F">
      <w:pPr>
        <w:spacing w:line="360" w:lineRule="auto"/>
        <w:ind w:firstLine="480" w:firstLineChars="200"/>
        <w:rPr>
          <w:rFonts w:ascii="宋体" w:hAnsi="宋体" w:cs="仿宋_GB2312"/>
          <w:sz w:val="24"/>
        </w:rPr>
      </w:pPr>
      <w:bookmarkStart w:id="16" w:name="_Toc28359081"/>
      <w:bookmarkStart w:id="17" w:name="_Toc28359004"/>
      <w:bookmarkStart w:id="18" w:name="_Toc35393623"/>
      <w:bookmarkStart w:id="19" w:name="_Toc35393792"/>
      <w:r>
        <w:rPr>
          <w:rFonts w:ascii="宋体" w:hAnsi="宋体" w:cs="仿宋_GB2312"/>
          <w:sz w:val="24"/>
        </w:rPr>
        <w:t>满足《中华人民共和国政府采购法》第二十二条规定；未被“信用中国”（www.creditchina.gov.cn)、中国政府采购网（www.ccgp.gov.cn）列入失信被执行人、重大税收违法案件当事人名单、政府采购严重违法失信行为记录名单。</w:t>
      </w:r>
    </w:p>
    <w:p w14:paraId="4E4ACCBE">
      <w:pPr>
        <w:spacing w:line="360" w:lineRule="auto"/>
        <w:ind w:firstLine="480" w:firstLineChars="200"/>
        <w:rPr>
          <w:rFonts w:ascii="宋体" w:hAnsi="宋体" w:cs="仿宋_GB2312"/>
          <w:sz w:val="24"/>
        </w:rPr>
      </w:pPr>
      <w:r>
        <w:rPr>
          <w:rFonts w:hint="eastAsia" w:ascii="宋体" w:hAnsi="宋体" w:cs="仿宋_GB2312"/>
          <w:sz w:val="24"/>
        </w:rPr>
        <w:t>凡有意参加此次招标投标并满足上述条件的合格投标单位，须携带：营业执照复印件（加盖单位公章）、法定代表人授权书原件（盖法人章及公章）及被授权人身份证原件及复印件（复印件加盖公章）；未按要求提交资料或携带资料不齐全的，采购人有权不受理其投标报名。</w:t>
      </w:r>
    </w:p>
    <w:bookmarkEnd w:id="16"/>
    <w:bookmarkEnd w:id="17"/>
    <w:bookmarkEnd w:id="18"/>
    <w:bookmarkEnd w:id="19"/>
    <w:p w14:paraId="214130BC">
      <w:pPr>
        <w:spacing w:line="360" w:lineRule="auto"/>
        <w:jc w:val="left"/>
        <w:rPr>
          <w:rFonts w:ascii="宋体" w:hAnsi="宋体" w:cs="仿宋_GB2312"/>
          <w:b/>
          <w:sz w:val="24"/>
        </w:rPr>
      </w:pPr>
      <w:r>
        <w:rPr>
          <w:rFonts w:hint="eastAsia" w:ascii="宋体" w:hAnsi="宋体" w:cs="仿宋_GB2312"/>
          <w:b/>
          <w:sz w:val="24"/>
        </w:rPr>
        <w:t>三、获取（下载）采购文件</w:t>
      </w:r>
    </w:p>
    <w:p w14:paraId="35348C07">
      <w:pPr>
        <w:spacing w:line="360" w:lineRule="auto"/>
        <w:ind w:firstLine="480" w:firstLineChars="200"/>
        <w:rPr>
          <w:rFonts w:ascii="宋体" w:hAnsi="宋体" w:cs="仿宋_GB2312"/>
          <w:sz w:val="24"/>
        </w:rPr>
      </w:pPr>
      <w:r>
        <w:rPr>
          <w:rFonts w:ascii="宋体" w:hAnsi="宋体" w:cs="仿宋_GB2312"/>
          <w:sz w:val="24"/>
        </w:rPr>
        <w:t>自行下载获取</w:t>
      </w:r>
      <w:r>
        <w:rPr>
          <w:rFonts w:hint="eastAsia" w:ascii="宋体" w:hAnsi="宋体" w:cs="仿宋_GB2312"/>
          <w:sz w:val="24"/>
        </w:rPr>
        <w:t>，登录丽水学院</w:t>
      </w:r>
      <w:r>
        <w:rPr>
          <w:rFonts w:hint="eastAsia" w:ascii="宋体" w:hAnsi="宋体" w:cs="仿宋_GB2312"/>
          <w:sz w:val="24"/>
          <w:lang w:val="en-US" w:eastAsia="zh-CN"/>
        </w:rPr>
        <w:t>招投标</w:t>
      </w:r>
      <w:r>
        <w:rPr>
          <w:rFonts w:hint="eastAsia" w:ascii="宋体" w:hAnsi="宋体" w:cs="仿宋_GB2312"/>
          <w:sz w:val="24"/>
        </w:rPr>
        <w:t>中心网站下载公告附件文件（网址：</w:t>
      </w:r>
      <w:r>
        <w:rPr>
          <w:rFonts w:hint="eastAsia"/>
        </w:rPr>
        <w:t>https://ztb.lsu.edu.cn/main.htm</w:t>
      </w:r>
      <w:r>
        <w:rPr>
          <w:rFonts w:hint="eastAsia" w:ascii="宋体" w:hAnsi="宋体" w:cs="仿宋_GB2312"/>
          <w:sz w:val="24"/>
        </w:rPr>
        <w:t>）</w:t>
      </w:r>
    </w:p>
    <w:p w14:paraId="1872A493">
      <w:pPr>
        <w:spacing w:line="360" w:lineRule="auto"/>
        <w:rPr>
          <w:rFonts w:ascii="宋体" w:hAnsi="宋体" w:cs="仿宋_GB2312"/>
          <w:b/>
          <w:sz w:val="24"/>
        </w:rPr>
      </w:pPr>
      <w:bookmarkStart w:id="20" w:name="_Toc28359084"/>
      <w:bookmarkStart w:id="21" w:name="_Toc28359007"/>
      <w:bookmarkStart w:id="22" w:name="_Toc35393625"/>
      <w:bookmarkStart w:id="23" w:name="_Toc35393794"/>
      <w:r>
        <w:rPr>
          <w:rFonts w:hint="eastAsia" w:ascii="宋体" w:hAnsi="宋体" w:cs="仿宋_GB2312"/>
          <w:b/>
          <w:sz w:val="24"/>
        </w:rPr>
        <w:t>四、响应文件提交和开启时间</w:t>
      </w:r>
    </w:p>
    <w:p w14:paraId="28430527">
      <w:pPr>
        <w:spacing w:line="360" w:lineRule="auto"/>
        <w:ind w:firstLine="482" w:firstLineChars="200"/>
        <w:rPr>
          <w:rFonts w:ascii="宋体" w:hAnsi="宋体" w:cs="仿宋_GB2312"/>
          <w:b/>
          <w:sz w:val="24"/>
        </w:rPr>
      </w:pPr>
      <w:r>
        <w:rPr>
          <w:rFonts w:hint="eastAsia" w:ascii="宋体" w:hAnsi="宋体" w:cs="仿宋_GB2312"/>
          <w:b/>
          <w:sz w:val="24"/>
        </w:rPr>
        <w:t>各供应商须将资格文件、资信商务及技术文件、报价文件单独密封，在截止时间之前递交到招标人指定地点。</w:t>
      </w:r>
    </w:p>
    <w:p w14:paraId="0D387D17">
      <w:pPr>
        <w:spacing w:line="360" w:lineRule="auto"/>
        <w:ind w:firstLine="482" w:firstLineChars="200"/>
        <w:rPr>
          <w:rFonts w:ascii="宋体" w:hAnsi="宋体" w:cs="仿宋_GB2312"/>
          <w:b/>
          <w:bCs/>
          <w:sz w:val="24"/>
          <w:u w:val="single"/>
        </w:rPr>
      </w:pPr>
      <w:r>
        <w:rPr>
          <w:rFonts w:hint="eastAsia" w:ascii="宋体" w:hAnsi="宋体" w:cs="仿宋_GB2312"/>
          <w:b/>
          <w:bCs/>
          <w:sz w:val="24"/>
        </w:rPr>
        <w:t>1</w:t>
      </w:r>
      <w:r>
        <w:rPr>
          <w:rFonts w:hint="eastAsia" w:ascii="宋体" w:hAnsi="宋体"/>
          <w:b/>
          <w:sz w:val="24"/>
        </w:rPr>
        <w:t>.</w:t>
      </w:r>
      <w:r>
        <w:rPr>
          <w:rFonts w:hint="eastAsia" w:ascii="宋体" w:hAnsi="宋体" w:cs="仿宋_GB2312"/>
          <w:b/>
          <w:bCs/>
          <w:sz w:val="24"/>
        </w:rPr>
        <w:t>截止时间：</w:t>
      </w:r>
      <w:r>
        <w:rPr>
          <w:rFonts w:ascii="宋体" w:hAnsi="宋体"/>
          <w:b/>
          <w:bCs/>
          <w:snapToGrid w:val="0"/>
          <w:sz w:val="24"/>
        </w:rPr>
        <w:t>2025</w:t>
      </w:r>
      <w:r>
        <w:rPr>
          <w:rFonts w:hint="eastAsia" w:ascii="宋体" w:hAnsi="宋体" w:cs="仿宋_GB2312"/>
          <w:b/>
          <w:bCs/>
          <w:sz w:val="24"/>
        </w:rPr>
        <w:t>年</w:t>
      </w:r>
      <w:r>
        <w:rPr>
          <w:rFonts w:ascii="宋体" w:hAnsi="宋体" w:cs="仿宋_GB2312"/>
          <w:b/>
          <w:bCs/>
          <w:sz w:val="24"/>
        </w:rPr>
        <w:t>6</w:t>
      </w:r>
      <w:r>
        <w:rPr>
          <w:rFonts w:hint="eastAsia" w:ascii="宋体" w:hAnsi="宋体" w:cs="仿宋_GB2312"/>
          <w:b/>
          <w:bCs/>
          <w:sz w:val="24"/>
        </w:rPr>
        <w:t>月</w:t>
      </w:r>
      <w:r>
        <w:rPr>
          <w:rFonts w:hint="eastAsia" w:ascii="宋体" w:hAnsi="宋体" w:cs="仿宋_GB2312"/>
          <w:b/>
          <w:bCs/>
          <w:sz w:val="24"/>
          <w:lang w:val="en-US" w:eastAsia="zh-CN"/>
        </w:rPr>
        <w:t>9</w:t>
      </w:r>
      <w:r>
        <w:rPr>
          <w:rFonts w:hint="eastAsia" w:ascii="宋体" w:hAnsi="宋体" w:cs="仿宋_GB2312"/>
          <w:b/>
          <w:bCs/>
          <w:sz w:val="24"/>
        </w:rPr>
        <w:t>日</w:t>
      </w:r>
      <w:r>
        <w:rPr>
          <w:rFonts w:hint="eastAsia" w:ascii="宋体" w:hAnsi="宋体"/>
          <w:b/>
          <w:bCs/>
          <w:snapToGrid w:val="0"/>
          <w:sz w:val="24"/>
        </w:rPr>
        <w:t>9:00</w:t>
      </w:r>
      <w:r>
        <w:rPr>
          <w:rFonts w:hint="eastAsia" w:ascii="宋体" w:hAnsi="宋体" w:cs="仿宋_GB2312"/>
          <w:b/>
          <w:bCs/>
          <w:sz w:val="24"/>
        </w:rPr>
        <w:t>（北京时间）</w:t>
      </w:r>
    </w:p>
    <w:p w14:paraId="28A2B0BF">
      <w:pPr>
        <w:spacing w:line="360" w:lineRule="auto"/>
        <w:ind w:firstLine="480" w:firstLineChars="200"/>
        <w:rPr>
          <w:rFonts w:ascii="宋体" w:hAnsi="宋体" w:cs="仿宋_GB2312"/>
          <w:sz w:val="24"/>
        </w:rPr>
      </w:pPr>
      <w:r>
        <w:rPr>
          <w:rFonts w:hint="eastAsia" w:ascii="宋体" w:hAnsi="宋体" w:cs="仿宋_GB2312"/>
          <w:sz w:val="24"/>
        </w:rPr>
        <w:t>递交地点：丽水学院教</w:t>
      </w:r>
      <w:r>
        <w:rPr>
          <w:rFonts w:ascii="宋体" w:hAnsi="宋体" w:cs="仿宋_GB2312"/>
          <w:sz w:val="24"/>
        </w:rPr>
        <w:t>教5-217</w:t>
      </w:r>
      <w:r>
        <w:rPr>
          <w:rFonts w:hint="eastAsia" w:ascii="宋体" w:hAnsi="宋体" w:cs="仿宋_GB2312"/>
          <w:sz w:val="24"/>
        </w:rPr>
        <w:t xml:space="preserve"> </w:t>
      </w:r>
      <w:r>
        <w:rPr>
          <w:rFonts w:ascii="宋体" w:hAnsi="宋体" w:cs="仿宋_GB2312"/>
          <w:sz w:val="24"/>
        </w:rPr>
        <w:t>何潇逸</w:t>
      </w:r>
      <w:r>
        <w:rPr>
          <w:rFonts w:hint="eastAsia" w:ascii="宋体" w:hAnsi="宋体" w:cs="仿宋_GB2312"/>
          <w:sz w:val="24"/>
        </w:rPr>
        <w:t xml:space="preserve"> </w:t>
      </w:r>
      <w:r>
        <w:rPr>
          <w:rFonts w:ascii="宋体" w:hAnsi="宋体" w:cs="仿宋_GB2312"/>
          <w:sz w:val="24"/>
        </w:rPr>
        <w:t xml:space="preserve"> </w:t>
      </w:r>
      <w:r>
        <w:rPr>
          <w:rFonts w:hint="eastAsia" w:ascii="宋体" w:hAnsi="宋体" w:cs="仿宋_GB2312"/>
          <w:sz w:val="24"/>
        </w:rPr>
        <w:t xml:space="preserve"> </w:t>
      </w:r>
      <w:r>
        <w:rPr>
          <w:rFonts w:ascii="宋体" w:hAnsi="宋体" w:cs="仿宋_GB2312"/>
          <w:sz w:val="24"/>
        </w:rPr>
        <w:t xml:space="preserve"> </w:t>
      </w:r>
      <w:r>
        <w:rPr>
          <w:rFonts w:hint="eastAsia" w:ascii="宋体" w:hAnsi="宋体" w:cs="仿宋_GB2312"/>
          <w:sz w:val="24"/>
        </w:rPr>
        <w:t>联系电话：</w:t>
      </w:r>
      <w:r>
        <w:rPr>
          <w:rFonts w:ascii="宋体" w:hAnsi="宋体" w:cs="仿宋_GB2312"/>
          <w:sz w:val="24"/>
        </w:rPr>
        <w:t>15925723233</w:t>
      </w:r>
    </w:p>
    <w:p w14:paraId="695792BA">
      <w:pPr>
        <w:spacing w:line="360" w:lineRule="auto"/>
        <w:ind w:firstLine="482" w:firstLineChars="200"/>
        <w:rPr>
          <w:rFonts w:ascii="宋体" w:hAnsi="宋体" w:cs="仿宋_GB2312"/>
          <w:b/>
          <w:sz w:val="24"/>
        </w:rPr>
      </w:pPr>
      <w:r>
        <w:rPr>
          <w:rFonts w:hint="eastAsia" w:ascii="宋体" w:hAnsi="宋体" w:cs="仿宋_GB2312"/>
          <w:b/>
          <w:sz w:val="24"/>
        </w:rPr>
        <w:t>2</w:t>
      </w:r>
      <w:r>
        <w:rPr>
          <w:rFonts w:ascii="宋体" w:hAnsi="宋体" w:cs="仿宋_GB2312"/>
          <w:b/>
          <w:sz w:val="24"/>
        </w:rPr>
        <w:t>.开启时间：2025</w:t>
      </w:r>
      <w:r>
        <w:rPr>
          <w:rFonts w:hint="eastAsia" w:ascii="宋体" w:hAnsi="宋体" w:cs="仿宋_GB2312"/>
          <w:b/>
          <w:sz w:val="24"/>
        </w:rPr>
        <w:t>年</w:t>
      </w:r>
      <w:r>
        <w:rPr>
          <w:rFonts w:ascii="宋体" w:hAnsi="宋体" w:cs="仿宋_GB2312"/>
          <w:b/>
          <w:sz w:val="24"/>
        </w:rPr>
        <w:t>6</w:t>
      </w:r>
      <w:r>
        <w:rPr>
          <w:rFonts w:hint="eastAsia" w:ascii="宋体" w:hAnsi="宋体" w:cs="仿宋_GB2312"/>
          <w:b/>
          <w:sz w:val="24"/>
        </w:rPr>
        <w:t>月</w:t>
      </w:r>
      <w:r>
        <w:rPr>
          <w:rFonts w:hint="eastAsia" w:ascii="宋体" w:hAnsi="宋体" w:cs="仿宋_GB2312"/>
          <w:b/>
          <w:sz w:val="24"/>
          <w:lang w:val="en-US" w:eastAsia="zh-CN"/>
        </w:rPr>
        <w:t>9</w:t>
      </w:r>
      <w:r>
        <w:rPr>
          <w:rFonts w:hint="eastAsia" w:ascii="宋体" w:hAnsi="宋体" w:cs="仿宋_GB2312"/>
          <w:b/>
          <w:sz w:val="24"/>
        </w:rPr>
        <w:t>日9:00（北京时间）</w:t>
      </w:r>
    </w:p>
    <w:p w14:paraId="229ED9A2">
      <w:pPr>
        <w:spacing w:line="360" w:lineRule="auto"/>
        <w:ind w:firstLine="480" w:firstLineChars="200"/>
        <w:rPr>
          <w:rFonts w:ascii="宋体" w:hAnsi="宋体" w:cs="仿宋_GB2312"/>
          <w:sz w:val="24"/>
        </w:rPr>
      </w:pPr>
      <w:r>
        <w:rPr>
          <w:rFonts w:hint="eastAsia" w:ascii="宋体" w:hAnsi="宋体" w:cs="仿宋_GB2312"/>
          <w:sz w:val="24"/>
        </w:rPr>
        <w:t>开标地点：丽水学院教5</w:t>
      </w:r>
      <w:r>
        <w:rPr>
          <w:rFonts w:ascii="宋体" w:hAnsi="宋体" w:cs="仿宋_GB2312"/>
          <w:sz w:val="24"/>
        </w:rPr>
        <w:t>207</w:t>
      </w:r>
      <w:r>
        <w:rPr>
          <w:rFonts w:hint="eastAsia" w:ascii="宋体" w:hAnsi="宋体" w:cs="仿宋_GB2312"/>
          <w:sz w:val="24"/>
        </w:rPr>
        <w:t>会议室</w:t>
      </w:r>
      <w:bookmarkEnd w:id="20"/>
      <w:bookmarkEnd w:id="21"/>
      <w:bookmarkEnd w:id="22"/>
      <w:bookmarkEnd w:id="23"/>
      <w:bookmarkStart w:id="62" w:name="_GoBack"/>
      <w:bookmarkEnd w:id="62"/>
    </w:p>
    <w:p w14:paraId="1FCCAA2B">
      <w:pPr>
        <w:spacing w:line="360" w:lineRule="auto"/>
        <w:ind w:firstLine="482" w:firstLineChars="200"/>
        <w:rPr>
          <w:rFonts w:ascii="宋体" w:hAnsi="宋体" w:cs="仿宋_GB2312"/>
          <w:sz w:val="24"/>
        </w:rPr>
      </w:pPr>
      <w:r>
        <w:rPr>
          <w:rFonts w:hint="eastAsia" w:hAnsi="宋体"/>
          <w:b/>
          <w:bCs/>
          <w:sz w:val="24"/>
        </w:rPr>
        <w:t>3</w:t>
      </w:r>
      <w:r>
        <w:rPr>
          <w:rFonts w:hAnsi="宋体"/>
          <w:b/>
          <w:bCs/>
          <w:sz w:val="24"/>
        </w:rPr>
        <w:t>.</w:t>
      </w:r>
      <w:r>
        <w:rPr>
          <w:rFonts w:hint="eastAsia" w:hAnsi="宋体"/>
          <w:b/>
          <w:bCs/>
          <w:sz w:val="24"/>
        </w:rPr>
        <w:t>项目联系人：</w:t>
      </w:r>
      <w:r>
        <w:rPr>
          <w:rFonts w:hint="eastAsia" w:ascii="宋体" w:hAnsi="宋体" w:cs="仿宋_GB2312"/>
          <w:sz w:val="24"/>
        </w:rPr>
        <w:t>王老师      联系电话：</w:t>
      </w:r>
      <w:r>
        <w:rPr>
          <w:rFonts w:ascii="宋体" w:hAnsi="宋体" w:cs="仿宋_GB2312"/>
          <w:sz w:val="24"/>
        </w:rPr>
        <w:t>13757098770</w:t>
      </w:r>
    </w:p>
    <w:bookmarkEnd w:id="11"/>
    <w:p w14:paraId="38DEAF0F">
      <w:pPr>
        <w:rPr>
          <w:rFonts w:ascii="宋体" w:hAnsi="宋体"/>
        </w:rPr>
      </w:pPr>
      <w:bookmarkStart w:id="24" w:name="_Toc391969408"/>
    </w:p>
    <w:p w14:paraId="61F281C5">
      <w:pPr>
        <w:rPr>
          <w:rFonts w:ascii="宋体" w:hAnsi="宋体"/>
        </w:rPr>
      </w:pPr>
    </w:p>
    <w:p w14:paraId="65FDC22C">
      <w:pPr>
        <w:rPr>
          <w:rFonts w:ascii="宋体" w:hAnsi="宋体"/>
        </w:rPr>
      </w:pPr>
    </w:p>
    <w:p w14:paraId="63AA3139">
      <w:pPr>
        <w:rPr>
          <w:rFonts w:ascii="宋体" w:hAnsi="宋体"/>
        </w:rPr>
      </w:pPr>
    </w:p>
    <w:p w14:paraId="52EE9FEB">
      <w:pPr>
        <w:pStyle w:val="3"/>
        <w:keepNext w:val="0"/>
        <w:spacing w:before="0" w:afterLines="50" w:line="240" w:lineRule="auto"/>
        <w:rPr>
          <w:rFonts w:ascii="宋体" w:hAnsi="宋体" w:eastAsia="宋体"/>
        </w:rPr>
      </w:pPr>
      <w:bookmarkStart w:id="25" w:name="_Toc112339145"/>
      <w:r>
        <w:rPr>
          <w:rFonts w:hint="eastAsia" w:ascii="宋体" w:hAnsi="宋体" w:eastAsia="宋体"/>
        </w:rPr>
        <w:t>第二章</w:t>
      </w:r>
      <w:r>
        <w:rPr>
          <w:rFonts w:ascii="宋体" w:hAnsi="宋体" w:eastAsia="宋体"/>
        </w:rPr>
        <w:t xml:space="preserve">  </w:t>
      </w:r>
      <w:bookmarkEnd w:id="24"/>
      <w:bookmarkEnd w:id="25"/>
      <w:bookmarkStart w:id="26" w:name="_Toc112339161"/>
      <w:r>
        <w:rPr>
          <w:rFonts w:hint="eastAsia" w:ascii="宋体" w:hAnsi="宋体" w:eastAsia="宋体"/>
        </w:rPr>
        <w:t>采购需求</w:t>
      </w:r>
      <w:bookmarkEnd w:id="26"/>
      <w:bookmarkStart w:id="27" w:name="_Toc390938592"/>
      <w:bookmarkStart w:id="28" w:name="_Toc10732239"/>
      <w:bookmarkStart w:id="29" w:name="_Toc433644344"/>
      <w:bookmarkStart w:id="30" w:name="_Toc511921087"/>
      <w:bookmarkStart w:id="31" w:name="_Toc478110122"/>
      <w:bookmarkStart w:id="32" w:name="_Toc444872827"/>
      <w:bookmarkStart w:id="33" w:name="_Toc390874092"/>
      <w:bookmarkStart w:id="34" w:name="_Toc435628438"/>
    </w:p>
    <w:bookmarkEnd w:id="27"/>
    <w:bookmarkEnd w:id="28"/>
    <w:bookmarkEnd w:id="29"/>
    <w:bookmarkEnd w:id="30"/>
    <w:bookmarkEnd w:id="31"/>
    <w:bookmarkEnd w:id="32"/>
    <w:p w14:paraId="2F0CFD21">
      <w:pPr>
        <w:widowControl/>
        <w:spacing w:line="360" w:lineRule="auto"/>
        <w:rPr>
          <w:rFonts w:ascii="宋体" w:hAnsi="宋体"/>
          <w:b/>
          <w:kern w:val="0"/>
          <w:szCs w:val="21"/>
        </w:rPr>
      </w:pPr>
      <w:bookmarkStart w:id="35" w:name="_Toc15398675"/>
      <w:r>
        <w:rPr>
          <w:rFonts w:hint="eastAsia" w:ascii="宋体" w:hAnsi="宋体"/>
          <w:b/>
          <w:kern w:val="0"/>
          <w:sz w:val="28"/>
          <w:szCs w:val="21"/>
        </w:rPr>
        <w:t>一、项目概述</w:t>
      </w:r>
    </w:p>
    <w:p w14:paraId="7F9C6C40">
      <w:pPr>
        <w:spacing w:line="360" w:lineRule="auto"/>
        <w:ind w:firstLine="480" w:firstLineChars="200"/>
        <w:rPr>
          <w:rFonts w:ascii="宋体" w:hAnsi="宋体"/>
          <w:sz w:val="24"/>
        </w:rPr>
      </w:pPr>
      <w:r>
        <w:rPr>
          <w:rFonts w:hint="eastAsia" w:ascii="宋体" w:hAnsi="宋体"/>
          <w:sz w:val="24"/>
        </w:rPr>
        <w:t>1、项目实施地点：丽水学院校园内</w:t>
      </w:r>
    </w:p>
    <w:p w14:paraId="7879BB31">
      <w:pPr>
        <w:spacing w:line="360" w:lineRule="auto"/>
        <w:ind w:firstLine="480" w:firstLineChars="200"/>
        <w:jc w:val="left"/>
        <w:rPr>
          <w:rFonts w:ascii="宋体" w:hAnsi="宋体"/>
          <w:sz w:val="24"/>
        </w:rPr>
      </w:pPr>
      <w:r>
        <w:rPr>
          <w:rFonts w:hint="eastAsia" w:ascii="宋体" w:hAnsi="宋体"/>
          <w:sz w:val="24"/>
        </w:rPr>
        <w:t>2、丽水学院本部（含笔架园）用于全校公共教学使用的 2</w:t>
      </w:r>
      <w:r>
        <w:rPr>
          <w:rFonts w:ascii="宋体" w:hAnsi="宋体"/>
          <w:sz w:val="24"/>
        </w:rPr>
        <w:t>4</w:t>
      </w:r>
      <w:r>
        <w:rPr>
          <w:rFonts w:hint="eastAsia" w:ascii="宋体" w:hAnsi="宋体"/>
          <w:sz w:val="24"/>
        </w:rPr>
        <w:t>0余间教室的所有现代教育设施（多媒体教学、智慧教学设备等，具体数据根据学校安排或有增减）的运行维护；全校投影机设备等的运行维护。</w:t>
      </w:r>
    </w:p>
    <w:p w14:paraId="57FD0527">
      <w:pPr>
        <w:spacing w:line="360" w:lineRule="auto"/>
        <w:rPr>
          <w:rFonts w:ascii="宋体" w:hAnsi="宋体"/>
          <w:b/>
          <w:kern w:val="0"/>
          <w:sz w:val="24"/>
          <w:szCs w:val="21"/>
        </w:rPr>
      </w:pPr>
      <w:r>
        <w:rPr>
          <w:rFonts w:hint="eastAsia" w:ascii="宋体" w:hAnsi="宋体"/>
          <w:b/>
          <w:kern w:val="0"/>
          <w:sz w:val="28"/>
          <w:szCs w:val="21"/>
        </w:rPr>
        <w:t>二、运维服务目标</w:t>
      </w:r>
    </w:p>
    <w:p w14:paraId="22D7FED7">
      <w:pPr>
        <w:spacing w:line="360" w:lineRule="auto"/>
        <w:ind w:firstLine="480" w:firstLineChars="200"/>
        <w:rPr>
          <w:rFonts w:ascii="宋体" w:hAnsi="宋体"/>
          <w:sz w:val="24"/>
        </w:rPr>
      </w:pPr>
      <w:r>
        <w:rPr>
          <w:rFonts w:ascii="宋体" w:hAnsi="宋体"/>
          <w:sz w:val="24"/>
        </w:rPr>
        <w:t>1</w:t>
      </w:r>
      <w:r>
        <w:rPr>
          <w:rFonts w:hint="eastAsia" w:ascii="宋体" w:hAnsi="宋体"/>
          <w:sz w:val="24"/>
        </w:rPr>
        <w:t>、保证教室相关集控设备、投影机、幕布、一体机、智慧黑板、计算机、扩音机、话筒、多媒体讲台、录/直播系统等设备的正常教学使用。</w:t>
      </w:r>
    </w:p>
    <w:p w14:paraId="0EF76D06">
      <w:pPr>
        <w:spacing w:line="360" w:lineRule="auto"/>
        <w:ind w:firstLine="480" w:firstLineChars="200"/>
        <w:rPr>
          <w:rFonts w:ascii="宋体" w:hAnsi="宋体"/>
          <w:sz w:val="24"/>
        </w:rPr>
      </w:pPr>
      <w:r>
        <w:rPr>
          <w:rFonts w:hint="eastAsia" w:ascii="宋体" w:hAnsi="宋体"/>
          <w:sz w:val="24"/>
        </w:rPr>
        <w:t>2、及时排除上述设备的所有硬件及软件故障，落实云桌面服务器数据的管理与备份，智慧教室的管理服务。</w:t>
      </w:r>
    </w:p>
    <w:p w14:paraId="1D18C9C7">
      <w:pPr>
        <w:spacing w:line="360" w:lineRule="auto"/>
        <w:ind w:firstLine="480" w:firstLineChars="200"/>
        <w:rPr>
          <w:rFonts w:ascii="宋体" w:hAnsi="宋体"/>
          <w:sz w:val="24"/>
        </w:rPr>
      </w:pPr>
      <w:r>
        <w:rPr>
          <w:rFonts w:hint="eastAsia" w:ascii="宋体" w:hAnsi="宋体"/>
          <w:sz w:val="24"/>
        </w:rPr>
        <w:t>3、教学设备发生故障无法在短时间解决，及时更换学校现有的备用设备或备件，保证教育教学工作的正常进行。</w:t>
      </w:r>
    </w:p>
    <w:p w14:paraId="75F0D18E">
      <w:pPr>
        <w:spacing w:line="360" w:lineRule="auto"/>
        <w:ind w:firstLine="480" w:firstLineChars="200"/>
        <w:rPr>
          <w:rFonts w:ascii="宋体" w:hAnsi="宋体"/>
          <w:sz w:val="24"/>
        </w:rPr>
      </w:pPr>
      <w:r>
        <w:rPr>
          <w:rFonts w:hint="eastAsia" w:ascii="宋体" w:hAnsi="宋体"/>
          <w:sz w:val="24"/>
        </w:rPr>
        <w:t>4、其他：协助做好学校重大活动等的多媒体技术服务保障等。</w:t>
      </w:r>
    </w:p>
    <w:p w14:paraId="7F06AF1C">
      <w:pPr>
        <w:spacing w:line="360" w:lineRule="auto"/>
        <w:rPr>
          <w:rFonts w:ascii="宋体" w:hAnsi="宋体"/>
          <w:b/>
          <w:kern w:val="0"/>
          <w:sz w:val="24"/>
          <w:szCs w:val="21"/>
        </w:rPr>
      </w:pPr>
      <w:r>
        <w:rPr>
          <w:rFonts w:hint="eastAsia" w:ascii="宋体" w:hAnsi="宋体"/>
          <w:b/>
          <w:kern w:val="0"/>
          <w:sz w:val="28"/>
          <w:szCs w:val="21"/>
        </w:rPr>
        <w:t>三、运维服务内容及具体要求</w:t>
      </w:r>
    </w:p>
    <w:p w14:paraId="053CE8EF">
      <w:pPr>
        <w:spacing w:line="360" w:lineRule="auto"/>
        <w:ind w:firstLine="480" w:firstLineChars="200"/>
        <w:rPr>
          <w:rFonts w:ascii="宋体" w:hAnsi="宋体"/>
          <w:sz w:val="24"/>
        </w:rPr>
      </w:pPr>
      <w:r>
        <w:rPr>
          <w:rFonts w:hint="eastAsia" w:ascii="宋体" w:hAnsi="宋体"/>
          <w:sz w:val="24"/>
        </w:rPr>
        <w:t>1、普通公共多媒体教室</w:t>
      </w:r>
    </w:p>
    <w:p w14:paraId="45ABE2E2">
      <w:pPr>
        <w:spacing w:line="360" w:lineRule="auto"/>
        <w:ind w:firstLine="480" w:firstLineChars="200"/>
        <w:rPr>
          <w:rFonts w:ascii="宋体" w:hAnsi="宋体"/>
          <w:sz w:val="24"/>
        </w:rPr>
      </w:pPr>
      <w:r>
        <w:rPr>
          <w:rFonts w:hint="eastAsia" w:ascii="宋体" w:hAnsi="宋体"/>
          <w:sz w:val="24"/>
        </w:rPr>
        <w:t>（1）对多媒体教室内的硬件设备及网络接入进行维护管理，不限于日常和定期的巡检工作，保证教学设备的正常使用。</w:t>
      </w:r>
    </w:p>
    <w:p w14:paraId="4A005557">
      <w:pPr>
        <w:spacing w:line="360" w:lineRule="auto"/>
        <w:ind w:firstLine="480" w:firstLineChars="200"/>
        <w:rPr>
          <w:rFonts w:ascii="宋体" w:hAnsi="宋体"/>
          <w:sz w:val="24"/>
        </w:rPr>
      </w:pPr>
      <w:r>
        <w:rPr>
          <w:rFonts w:hint="eastAsia" w:ascii="宋体" w:hAnsi="宋体"/>
          <w:sz w:val="24"/>
        </w:rPr>
        <w:t>（2）所有相关设备硬件故障的判断及排除，一般硬件故障的修复，包括但不限于更换设备，电动幕布线路，VGA等转接头的焊接、网线的制作等。</w:t>
      </w:r>
    </w:p>
    <w:p w14:paraId="52C9AF9D">
      <w:pPr>
        <w:spacing w:line="360" w:lineRule="auto"/>
        <w:ind w:firstLine="480" w:firstLineChars="200"/>
        <w:rPr>
          <w:rFonts w:ascii="宋体" w:hAnsi="宋体"/>
          <w:sz w:val="24"/>
        </w:rPr>
      </w:pPr>
      <w:r>
        <w:rPr>
          <w:rFonts w:hint="eastAsia" w:ascii="宋体" w:hAnsi="宋体"/>
          <w:sz w:val="24"/>
        </w:rPr>
        <w:t>（3）提供因教室调整等而造成的设备拆除、迁移、安装、添加、变动的协助支持。</w:t>
      </w:r>
    </w:p>
    <w:p w14:paraId="4F13B89E">
      <w:pPr>
        <w:spacing w:line="360" w:lineRule="auto"/>
        <w:ind w:firstLine="480" w:firstLineChars="200"/>
        <w:rPr>
          <w:rFonts w:ascii="宋体" w:hAnsi="宋体"/>
          <w:sz w:val="24"/>
        </w:rPr>
      </w:pPr>
      <w:r>
        <w:rPr>
          <w:rFonts w:hint="eastAsia" w:ascii="宋体" w:hAnsi="宋体"/>
          <w:sz w:val="24"/>
        </w:rPr>
        <w:t>（4）计算机操作系统、常用应用软件的安装与维护。</w:t>
      </w:r>
    </w:p>
    <w:p w14:paraId="7DA5256D">
      <w:pPr>
        <w:spacing w:line="360" w:lineRule="auto"/>
        <w:ind w:firstLine="480" w:firstLineChars="200"/>
        <w:rPr>
          <w:rFonts w:ascii="宋体" w:hAnsi="宋体"/>
          <w:sz w:val="24"/>
        </w:rPr>
      </w:pPr>
      <w:r>
        <w:rPr>
          <w:rFonts w:hint="eastAsia" w:ascii="宋体" w:hAnsi="宋体"/>
          <w:sz w:val="24"/>
        </w:rPr>
        <w:t>（5）多媒体设备的故障判断及维护。</w:t>
      </w:r>
    </w:p>
    <w:p w14:paraId="6CB449DC">
      <w:pPr>
        <w:spacing w:line="360" w:lineRule="auto"/>
        <w:ind w:firstLine="480" w:firstLineChars="200"/>
        <w:rPr>
          <w:rFonts w:ascii="宋体" w:hAnsi="宋体"/>
          <w:sz w:val="24"/>
        </w:rPr>
      </w:pPr>
      <w:r>
        <w:rPr>
          <w:rFonts w:hint="eastAsia" w:ascii="宋体" w:hAnsi="宋体"/>
          <w:sz w:val="24"/>
        </w:rPr>
        <w:t>a</w:t>
      </w:r>
      <w:r>
        <w:rPr>
          <w:rFonts w:ascii="宋体" w:hAnsi="宋体"/>
          <w:sz w:val="24"/>
        </w:rPr>
        <w:t xml:space="preserve"> </w:t>
      </w:r>
      <w:r>
        <w:rPr>
          <w:rFonts w:hint="eastAsia" w:ascii="宋体" w:hAnsi="宋体"/>
          <w:sz w:val="24"/>
        </w:rPr>
        <w:t>电脑主机硬件故障检查及维护。</w:t>
      </w:r>
    </w:p>
    <w:p w14:paraId="148C113F">
      <w:pPr>
        <w:spacing w:line="360" w:lineRule="auto"/>
        <w:ind w:firstLine="480" w:firstLineChars="200"/>
        <w:rPr>
          <w:rFonts w:ascii="宋体" w:hAnsi="宋体"/>
          <w:sz w:val="24"/>
        </w:rPr>
      </w:pPr>
      <w:r>
        <w:rPr>
          <w:rFonts w:hint="eastAsia" w:ascii="宋体" w:hAnsi="宋体"/>
          <w:sz w:val="24"/>
        </w:rPr>
        <w:t>b</w:t>
      </w:r>
      <w:r>
        <w:rPr>
          <w:rFonts w:ascii="宋体" w:hAnsi="宋体"/>
          <w:sz w:val="24"/>
        </w:rPr>
        <w:t xml:space="preserve"> </w:t>
      </w:r>
      <w:r>
        <w:rPr>
          <w:rFonts w:hint="eastAsia" w:ascii="宋体" w:hAnsi="宋体"/>
          <w:sz w:val="24"/>
        </w:rPr>
        <w:t>中控设备线路连接与故障诊断修复。</w:t>
      </w:r>
    </w:p>
    <w:p w14:paraId="120409AA">
      <w:pPr>
        <w:spacing w:line="360" w:lineRule="auto"/>
        <w:ind w:firstLine="480" w:firstLineChars="200"/>
        <w:rPr>
          <w:rFonts w:ascii="宋体" w:hAnsi="宋体"/>
          <w:sz w:val="24"/>
        </w:rPr>
      </w:pPr>
      <w:r>
        <w:rPr>
          <w:rFonts w:hint="eastAsia" w:ascii="宋体" w:hAnsi="宋体"/>
          <w:sz w:val="24"/>
        </w:rPr>
        <w:t>c</w:t>
      </w:r>
      <w:r>
        <w:rPr>
          <w:rFonts w:ascii="宋体" w:hAnsi="宋体"/>
          <w:sz w:val="24"/>
        </w:rPr>
        <w:t xml:space="preserve"> </w:t>
      </w:r>
      <w:r>
        <w:rPr>
          <w:rFonts w:hint="eastAsia" w:ascii="宋体" w:hAnsi="宋体"/>
          <w:sz w:val="24"/>
        </w:rPr>
        <w:t>电动幕布的故障判断，包括日常的线路整理及故障设备更换。</w:t>
      </w:r>
    </w:p>
    <w:p w14:paraId="4B1F9657">
      <w:pPr>
        <w:spacing w:line="360" w:lineRule="auto"/>
        <w:ind w:firstLine="480" w:firstLineChars="200"/>
        <w:rPr>
          <w:rFonts w:ascii="宋体" w:hAnsi="宋体"/>
          <w:sz w:val="24"/>
        </w:rPr>
      </w:pPr>
      <w:r>
        <w:rPr>
          <w:rFonts w:hint="eastAsia" w:ascii="宋体" w:hAnsi="宋体"/>
          <w:sz w:val="24"/>
        </w:rPr>
        <w:t>d</w:t>
      </w:r>
      <w:r>
        <w:rPr>
          <w:rFonts w:ascii="宋体" w:hAnsi="宋体"/>
          <w:sz w:val="24"/>
        </w:rPr>
        <w:t xml:space="preserve"> </w:t>
      </w:r>
      <w:r>
        <w:rPr>
          <w:rFonts w:hint="eastAsia" w:ascii="宋体" w:hAnsi="宋体"/>
          <w:sz w:val="24"/>
        </w:rPr>
        <w:t>扩音设备（功放、无线话筒、调音台等）的使用、维护、日常的线路规划调整及调试、故障的判断。</w:t>
      </w:r>
    </w:p>
    <w:p w14:paraId="05413156">
      <w:pPr>
        <w:spacing w:line="360" w:lineRule="auto"/>
        <w:ind w:firstLine="480" w:firstLineChars="200"/>
        <w:rPr>
          <w:rFonts w:ascii="宋体" w:hAnsi="宋体"/>
          <w:sz w:val="24"/>
        </w:rPr>
      </w:pPr>
      <w:r>
        <w:rPr>
          <w:rFonts w:hint="eastAsia" w:ascii="宋体" w:hAnsi="宋体"/>
          <w:sz w:val="24"/>
        </w:rPr>
        <w:t>e</w:t>
      </w:r>
      <w:r>
        <w:rPr>
          <w:rFonts w:ascii="宋体" w:hAnsi="宋体"/>
          <w:sz w:val="24"/>
        </w:rPr>
        <w:t xml:space="preserve"> </w:t>
      </w:r>
      <w:r>
        <w:rPr>
          <w:rFonts w:hint="eastAsia" w:ascii="宋体" w:hAnsi="宋体"/>
          <w:sz w:val="24"/>
        </w:rPr>
        <w:t>投影机的维护，包括但不限于投影机的更换（吊架安装）、投影机位置的调整、熟悉投影控制菜单的使用等。</w:t>
      </w:r>
    </w:p>
    <w:p w14:paraId="1748DF47">
      <w:pPr>
        <w:spacing w:line="360" w:lineRule="auto"/>
        <w:ind w:firstLine="480" w:firstLineChars="200"/>
        <w:rPr>
          <w:rFonts w:ascii="宋体" w:hAnsi="宋体"/>
          <w:sz w:val="24"/>
        </w:rPr>
      </w:pPr>
      <w:r>
        <w:rPr>
          <w:rFonts w:hint="eastAsia" w:ascii="宋体" w:hAnsi="宋体"/>
          <w:sz w:val="24"/>
        </w:rPr>
        <w:t>2、智慧教室</w:t>
      </w:r>
    </w:p>
    <w:p w14:paraId="3866C520">
      <w:pPr>
        <w:spacing w:line="360" w:lineRule="auto"/>
        <w:ind w:firstLine="480" w:firstLineChars="200"/>
        <w:rPr>
          <w:rFonts w:ascii="宋体" w:hAnsi="宋体"/>
          <w:sz w:val="24"/>
        </w:rPr>
      </w:pPr>
      <w:r>
        <w:rPr>
          <w:rFonts w:hint="eastAsia" w:ascii="宋体" w:hAnsi="宋体"/>
          <w:sz w:val="24"/>
        </w:rPr>
        <w:t>教室类型：智慧教室、云平台录播教室等</w:t>
      </w:r>
    </w:p>
    <w:p w14:paraId="53EEAA1B">
      <w:pPr>
        <w:spacing w:line="360" w:lineRule="auto"/>
        <w:ind w:firstLine="480" w:firstLineChars="200"/>
        <w:rPr>
          <w:rFonts w:ascii="宋体" w:hAnsi="宋体"/>
          <w:sz w:val="24"/>
        </w:rPr>
      </w:pPr>
      <w:r>
        <w:rPr>
          <w:rFonts w:hint="eastAsia" w:ascii="宋体" w:hAnsi="宋体"/>
          <w:sz w:val="24"/>
        </w:rPr>
        <w:t>（1）遵循多媒体教室硬件服务管理的基础内容，配合及指导相关特殊设备的使用管理服务。</w:t>
      </w:r>
    </w:p>
    <w:p w14:paraId="1ECC5AA0">
      <w:pPr>
        <w:spacing w:line="360" w:lineRule="auto"/>
        <w:ind w:firstLine="480" w:firstLineChars="200"/>
        <w:rPr>
          <w:rFonts w:ascii="宋体" w:hAnsi="宋体"/>
          <w:sz w:val="24"/>
        </w:rPr>
      </w:pPr>
      <w:r>
        <w:rPr>
          <w:rFonts w:hint="eastAsia" w:ascii="宋体" w:hAnsi="宋体"/>
          <w:sz w:val="24"/>
        </w:rPr>
        <w:t>（2）智慧教室基础硬件设备的日常保障和维护：</w:t>
      </w:r>
    </w:p>
    <w:p w14:paraId="7581E86A">
      <w:pPr>
        <w:spacing w:line="360" w:lineRule="auto"/>
        <w:ind w:firstLine="480" w:firstLineChars="200"/>
        <w:rPr>
          <w:rFonts w:ascii="宋体" w:hAnsi="宋体"/>
          <w:sz w:val="24"/>
        </w:rPr>
      </w:pPr>
      <w:r>
        <w:rPr>
          <w:rFonts w:hint="eastAsia" w:ascii="宋体" w:hAnsi="宋体"/>
          <w:sz w:val="24"/>
        </w:rPr>
        <w:t>a 熟悉中控设备的程序设置保证设备日常维护的有效性</w:t>
      </w:r>
    </w:p>
    <w:p w14:paraId="183F49BA">
      <w:pPr>
        <w:spacing w:line="360" w:lineRule="auto"/>
        <w:ind w:firstLine="480" w:firstLineChars="200"/>
        <w:rPr>
          <w:rFonts w:ascii="宋体" w:hAnsi="宋体"/>
          <w:sz w:val="24"/>
        </w:rPr>
      </w:pPr>
      <w:r>
        <w:rPr>
          <w:rFonts w:hint="eastAsia" w:ascii="宋体" w:hAnsi="宋体"/>
          <w:sz w:val="24"/>
        </w:rPr>
        <w:t>b教室内网络交换机的配置管理及故障诊断</w:t>
      </w:r>
    </w:p>
    <w:p w14:paraId="2201A7DC">
      <w:pPr>
        <w:spacing w:line="360" w:lineRule="auto"/>
        <w:ind w:firstLine="480" w:firstLineChars="200"/>
        <w:rPr>
          <w:rFonts w:ascii="宋体" w:hAnsi="宋体"/>
          <w:sz w:val="24"/>
        </w:rPr>
      </w:pPr>
      <w:r>
        <w:rPr>
          <w:rFonts w:hint="eastAsia" w:ascii="宋体" w:hAnsi="宋体"/>
          <w:sz w:val="24"/>
        </w:rPr>
        <w:t>c云台监控设备的服务管理（不限于日常的维护，IP的配置等）</w:t>
      </w:r>
    </w:p>
    <w:p w14:paraId="112C6E0F">
      <w:pPr>
        <w:spacing w:line="360" w:lineRule="auto"/>
        <w:ind w:firstLine="480" w:firstLineChars="200"/>
        <w:rPr>
          <w:rFonts w:ascii="宋体" w:hAnsi="宋体"/>
          <w:sz w:val="24"/>
        </w:rPr>
      </w:pPr>
      <w:r>
        <w:rPr>
          <w:rFonts w:hint="eastAsia" w:ascii="宋体" w:hAnsi="宋体"/>
          <w:sz w:val="24"/>
        </w:rPr>
        <w:t>d触摸交互一体机的日常服务管理及故障的诊断</w:t>
      </w:r>
    </w:p>
    <w:p w14:paraId="2893C6DC">
      <w:pPr>
        <w:spacing w:line="360" w:lineRule="auto"/>
        <w:ind w:firstLine="480" w:firstLineChars="200"/>
        <w:rPr>
          <w:rFonts w:ascii="宋体" w:hAnsi="宋体"/>
          <w:sz w:val="24"/>
        </w:rPr>
      </w:pPr>
      <w:r>
        <w:rPr>
          <w:rFonts w:hint="eastAsia" w:ascii="宋体" w:hAnsi="宋体"/>
          <w:sz w:val="24"/>
        </w:rPr>
        <w:t>（3）智慧教室核心设备的日常保障和维护：</w:t>
      </w:r>
    </w:p>
    <w:p w14:paraId="17A13FD2">
      <w:pPr>
        <w:spacing w:line="360" w:lineRule="auto"/>
        <w:ind w:firstLine="480" w:firstLineChars="200"/>
        <w:rPr>
          <w:rFonts w:ascii="宋体" w:hAnsi="宋体"/>
          <w:sz w:val="24"/>
        </w:rPr>
      </w:pPr>
      <w:r>
        <w:rPr>
          <w:rFonts w:hint="eastAsia" w:ascii="宋体" w:hAnsi="宋体"/>
          <w:sz w:val="24"/>
        </w:rPr>
        <w:t>a智慧教室终端的维护及检查，重点检测设备运行状态、信号接入正常、硬盘存储状态等</w:t>
      </w:r>
    </w:p>
    <w:p w14:paraId="701EDE3E">
      <w:pPr>
        <w:spacing w:line="360" w:lineRule="auto"/>
        <w:ind w:firstLine="480" w:firstLineChars="200"/>
        <w:rPr>
          <w:rFonts w:ascii="宋体" w:hAnsi="宋体"/>
          <w:sz w:val="24"/>
        </w:rPr>
      </w:pPr>
      <w:r>
        <w:rPr>
          <w:rFonts w:hint="eastAsia" w:ascii="宋体" w:hAnsi="宋体"/>
          <w:sz w:val="24"/>
        </w:rPr>
        <w:t>b图像跟踪设备的维护及检查，重点检测设备运行状态、图像跟踪偏移度等</w:t>
      </w:r>
    </w:p>
    <w:p w14:paraId="22B148F4">
      <w:pPr>
        <w:spacing w:line="360" w:lineRule="auto"/>
        <w:ind w:firstLine="480" w:firstLineChars="200"/>
        <w:rPr>
          <w:rFonts w:ascii="宋体" w:hAnsi="宋体"/>
          <w:sz w:val="24"/>
        </w:rPr>
      </w:pPr>
      <w:r>
        <w:rPr>
          <w:rFonts w:hint="eastAsia" w:ascii="宋体" w:hAnsi="宋体"/>
          <w:sz w:val="24"/>
        </w:rPr>
        <w:t>c教室内摄像机、时钟的维护及检查，重点检测设备运行状态、设备带电线路的老旧检测等</w:t>
      </w:r>
    </w:p>
    <w:p w14:paraId="7C144887">
      <w:pPr>
        <w:spacing w:line="360" w:lineRule="auto"/>
        <w:ind w:firstLine="480" w:firstLineChars="200"/>
        <w:rPr>
          <w:rFonts w:ascii="宋体" w:hAnsi="宋体"/>
          <w:sz w:val="24"/>
        </w:rPr>
      </w:pPr>
      <w:r>
        <w:rPr>
          <w:rFonts w:hint="eastAsia" w:ascii="宋体" w:hAnsi="宋体"/>
          <w:sz w:val="24"/>
        </w:rPr>
        <w:t>d拾音采集设备的维护及检查，重点检查设备采音清晰度反馈等</w:t>
      </w:r>
    </w:p>
    <w:p w14:paraId="240C4245">
      <w:pPr>
        <w:spacing w:line="360" w:lineRule="auto"/>
        <w:ind w:firstLine="480" w:firstLineChars="200"/>
        <w:rPr>
          <w:rFonts w:ascii="宋体" w:hAnsi="宋体"/>
          <w:sz w:val="24"/>
        </w:rPr>
      </w:pPr>
      <w:r>
        <w:rPr>
          <w:rFonts w:hint="eastAsia" w:ascii="宋体" w:hAnsi="宋体"/>
          <w:sz w:val="24"/>
        </w:rPr>
        <w:t>e课堂互动终端的维护及检查，重点检查设备投屏、音视频等f4K摄像机的维护及检查，重点检查设备信号、分析状态等</w:t>
      </w:r>
    </w:p>
    <w:p w14:paraId="6B97E43D">
      <w:pPr>
        <w:spacing w:line="360" w:lineRule="auto"/>
        <w:ind w:firstLine="480" w:firstLineChars="200"/>
        <w:rPr>
          <w:rFonts w:ascii="宋体" w:hAnsi="宋体"/>
          <w:sz w:val="24"/>
        </w:rPr>
      </w:pPr>
      <w:r>
        <w:rPr>
          <w:rFonts w:hint="eastAsia" w:ascii="宋体" w:hAnsi="宋体"/>
          <w:sz w:val="24"/>
        </w:rPr>
        <w:t>（4）熟练使用智慧教室系统，每周定期对智慧教室系统进行测试，保障正常运行；同时在重点课程期间安排专人负责，全程保障正常教学。</w:t>
      </w:r>
    </w:p>
    <w:p w14:paraId="739C53DB">
      <w:pPr>
        <w:spacing w:line="360" w:lineRule="auto"/>
        <w:ind w:firstLine="480" w:firstLineChars="200"/>
        <w:rPr>
          <w:rFonts w:ascii="宋体" w:hAnsi="宋体"/>
          <w:sz w:val="24"/>
        </w:rPr>
      </w:pPr>
      <w:r>
        <w:rPr>
          <w:rFonts w:hint="eastAsia" w:ascii="宋体" w:hAnsi="宋体"/>
          <w:sz w:val="24"/>
        </w:rPr>
        <w:t>（5）了解智慧教室中录播设备的管理及操作，配合学堂教师及学生的指导的使用，协助日常的课件录制，录制完成后指导老师拷贝课件，后续编辑使用等</w:t>
      </w:r>
    </w:p>
    <w:p w14:paraId="033AF378">
      <w:pPr>
        <w:spacing w:line="360" w:lineRule="auto"/>
        <w:ind w:firstLine="480" w:firstLineChars="200"/>
        <w:rPr>
          <w:rFonts w:ascii="宋体" w:hAnsi="宋体"/>
          <w:sz w:val="24"/>
        </w:rPr>
      </w:pPr>
      <w:r>
        <w:rPr>
          <w:rFonts w:hint="eastAsia" w:ascii="宋体" w:hAnsi="宋体"/>
          <w:sz w:val="24"/>
        </w:rPr>
        <w:t>（6）了解智慧教室不同模式，对应不同应用场景，配合老师完成课程设计</w:t>
      </w:r>
    </w:p>
    <w:p w14:paraId="5BD3E7AD">
      <w:pPr>
        <w:spacing w:line="360" w:lineRule="auto"/>
        <w:ind w:firstLine="480" w:firstLineChars="200"/>
        <w:rPr>
          <w:rFonts w:ascii="宋体" w:hAnsi="宋体"/>
          <w:sz w:val="24"/>
        </w:rPr>
      </w:pPr>
      <w:r>
        <w:rPr>
          <w:rFonts w:hint="eastAsia" w:ascii="宋体" w:hAnsi="宋体"/>
          <w:sz w:val="24"/>
        </w:rPr>
        <w:t>（7）了解智慧教室中课堂互动的运行原理，配合指导教师、学生课堂使用。</w:t>
      </w:r>
    </w:p>
    <w:p w14:paraId="4DE46EA0">
      <w:pPr>
        <w:spacing w:line="360" w:lineRule="auto"/>
        <w:ind w:firstLine="480" w:firstLineChars="200"/>
        <w:rPr>
          <w:rFonts w:ascii="宋体" w:hAnsi="宋体"/>
          <w:sz w:val="24"/>
        </w:rPr>
      </w:pPr>
      <w:r>
        <w:rPr>
          <w:rFonts w:hint="eastAsia" w:ascii="宋体" w:hAnsi="宋体"/>
          <w:sz w:val="24"/>
        </w:rPr>
        <w:t>（8）对智慧教室平台熟练使用，可指导老师、学生、管理者不同角色的应用，同时可对录制的课件、课堂数据进行溯源，配合使用者获取相关的数据信息。</w:t>
      </w:r>
    </w:p>
    <w:p w14:paraId="735602AB">
      <w:pPr>
        <w:spacing w:line="360" w:lineRule="auto"/>
        <w:ind w:firstLine="480" w:firstLineChars="200"/>
        <w:rPr>
          <w:rFonts w:ascii="宋体" w:hAnsi="宋体"/>
          <w:sz w:val="24"/>
        </w:rPr>
      </w:pPr>
      <w:r>
        <w:rPr>
          <w:rFonts w:hint="eastAsia" w:ascii="宋体" w:hAnsi="宋体"/>
          <w:sz w:val="24"/>
        </w:rPr>
        <w:t>（9）熟练使用巡课、督导、评课、设备状态查询等功能，出现问题可以通过初步排查网络、相关设备得出基础结论。</w:t>
      </w:r>
    </w:p>
    <w:p w14:paraId="62AA606C">
      <w:pPr>
        <w:spacing w:line="360" w:lineRule="auto"/>
        <w:ind w:firstLine="480" w:firstLineChars="200"/>
        <w:rPr>
          <w:rFonts w:ascii="宋体" w:hAnsi="宋体"/>
          <w:sz w:val="24"/>
        </w:rPr>
      </w:pPr>
      <w:r>
        <w:rPr>
          <w:rFonts w:hint="eastAsia" w:ascii="宋体" w:hAnsi="宋体"/>
          <w:sz w:val="24"/>
        </w:rPr>
        <w:t>（10）配合智慧教室系统各厂家完成系统的升级、巡检；参与各厂家对智慧教室运维培训，通过考核。</w:t>
      </w:r>
    </w:p>
    <w:p w14:paraId="0026E8BF">
      <w:pPr>
        <w:spacing w:line="360" w:lineRule="auto"/>
        <w:ind w:firstLine="480" w:firstLineChars="200"/>
        <w:rPr>
          <w:rFonts w:ascii="宋体" w:hAnsi="宋体"/>
          <w:sz w:val="24"/>
        </w:rPr>
      </w:pPr>
      <w:r>
        <w:rPr>
          <w:rFonts w:hint="eastAsia" w:ascii="宋体" w:hAnsi="宋体"/>
          <w:sz w:val="24"/>
        </w:rPr>
        <w:t>3、其他</w:t>
      </w:r>
    </w:p>
    <w:p w14:paraId="168673E3">
      <w:pPr>
        <w:spacing w:line="360" w:lineRule="auto"/>
        <w:ind w:firstLine="480" w:firstLineChars="200"/>
        <w:rPr>
          <w:rFonts w:ascii="宋体" w:hAnsi="宋体"/>
          <w:sz w:val="24"/>
        </w:rPr>
      </w:pPr>
      <w:r>
        <w:rPr>
          <w:rFonts w:hint="eastAsia" w:ascii="宋体" w:hAnsi="宋体"/>
          <w:sz w:val="24"/>
        </w:rPr>
        <w:t>（1）及时学习掌握新设备新技术的使用和维护工作，协助学校进行设施设备的使用培训，指导学校教师正确使用现代教育设施，热情解答教师提出的各种问题。</w:t>
      </w:r>
    </w:p>
    <w:p w14:paraId="661B4249">
      <w:pPr>
        <w:spacing w:line="360" w:lineRule="auto"/>
        <w:ind w:firstLine="480" w:firstLineChars="200"/>
        <w:rPr>
          <w:rFonts w:ascii="宋体" w:hAnsi="宋体"/>
          <w:sz w:val="24"/>
        </w:rPr>
      </w:pPr>
      <w:r>
        <w:rPr>
          <w:rFonts w:hint="eastAsia" w:ascii="宋体" w:hAnsi="宋体"/>
          <w:sz w:val="24"/>
        </w:rPr>
        <w:t>（2）协助学校做好重大活动和重要教学活动的技术保障(如重要活动和会议的直录播、大型考试的铃声广播等工作）。</w:t>
      </w:r>
    </w:p>
    <w:p w14:paraId="07897495">
      <w:pPr>
        <w:spacing w:line="360" w:lineRule="auto"/>
        <w:ind w:firstLine="480" w:firstLineChars="200"/>
        <w:rPr>
          <w:rFonts w:ascii="宋体" w:hAnsi="宋体"/>
          <w:sz w:val="24"/>
        </w:rPr>
      </w:pPr>
      <w:r>
        <w:rPr>
          <w:rFonts w:hint="eastAsia" w:ascii="宋体" w:hAnsi="宋体"/>
          <w:sz w:val="24"/>
        </w:rPr>
        <w:t>（3）维护时因维护人员过错造成设备损坏的，由中标人如实赔偿。</w:t>
      </w:r>
    </w:p>
    <w:p w14:paraId="6D391342">
      <w:pPr>
        <w:spacing w:line="360" w:lineRule="auto"/>
        <w:ind w:firstLine="480" w:firstLineChars="200"/>
        <w:rPr>
          <w:rFonts w:ascii="宋体" w:hAnsi="宋体"/>
          <w:sz w:val="24"/>
        </w:rPr>
      </w:pPr>
      <w:r>
        <w:rPr>
          <w:rFonts w:hint="eastAsia" w:ascii="宋体" w:hAnsi="宋体"/>
          <w:sz w:val="24"/>
        </w:rPr>
        <w:t>（4） 做好工作日志和统计，日常使用过程中对出现的多媒体设备工作情况、故障及事件做好维护管理日志，定期上报。</w:t>
      </w:r>
    </w:p>
    <w:p w14:paraId="5F156780">
      <w:pPr>
        <w:spacing w:line="360" w:lineRule="auto"/>
        <w:ind w:firstLine="480" w:firstLineChars="200"/>
        <w:rPr>
          <w:rFonts w:ascii="宋体" w:hAnsi="宋体"/>
          <w:b/>
          <w:kern w:val="0"/>
          <w:sz w:val="24"/>
          <w:szCs w:val="21"/>
        </w:rPr>
      </w:pPr>
      <w:r>
        <w:rPr>
          <w:rFonts w:hint="eastAsia" w:ascii="宋体" w:hAnsi="宋体"/>
          <w:sz w:val="24"/>
        </w:rPr>
        <w:t>（5）每学期开学前一周，完成对运维范围内所有设备的巡检，包括软硬件的升级，设备故障的及时处理解决，同时做好前期学校开学的配合工作，保证开学顺利进行。开学的第一周，管理服务人员须全员全天守候设备，随时解决设备故障。</w:t>
      </w:r>
    </w:p>
    <w:p w14:paraId="0CC9A154">
      <w:pPr>
        <w:spacing w:line="360" w:lineRule="auto"/>
        <w:rPr>
          <w:rFonts w:ascii="宋体" w:hAnsi="宋体"/>
          <w:b/>
          <w:kern w:val="0"/>
          <w:sz w:val="24"/>
          <w:szCs w:val="21"/>
        </w:rPr>
      </w:pPr>
      <w:r>
        <w:rPr>
          <w:rFonts w:hint="eastAsia" w:ascii="宋体" w:hAnsi="宋体"/>
          <w:b/>
          <w:kern w:val="0"/>
          <w:sz w:val="28"/>
          <w:szCs w:val="21"/>
        </w:rPr>
        <w:t>四、管理服务标准</w:t>
      </w:r>
    </w:p>
    <w:bookmarkEnd w:id="35"/>
    <w:p w14:paraId="169EFAB5">
      <w:pPr>
        <w:spacing w:line="360" w:lineRule="auto"/>
        <w:ind w:firstLine="480" w:firstLineChars="200"/>
        <w:rPr>
          <w:rFonts w:ascii="宋体" w:hAnsi="宋体"/>
          <w:sz w:val="24"/>
        </w:rPr>
      </w:pPr>
      <w:bookmarkStart w:id="36" w:name="_Toc112339164"/>
      <w:r>
        <w:rPr>
          <w:rFonts w:ascii="宋体" w:hAnsi="宋体"/>
          <w:sz w:val="24"/>
        </w:rPr>
        <w:t>1、驻场服务</w:t>
      </w:r>
      <w:r>
        <w:rPr>
          <w:rFonts w:hint="eastAsia" w:ascii="宋体" w:hAnsi="宋体"/>
          <w:sz w:val="24"/>
        </w:rPr>
        <w:t>要求</w:t>
      </w:r>
    </w:p>
    <w:p w14:paraId="58F6930F">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在</w:t>
      </w:r>
      <w:r>
        <w:rPr>
          <w:rFonts w:ascii="宋体" w:hAnsi="宋体"/>
          <w:sz w:val="24"/>
        </w:rPr>
        <w:t>全年</w:t>
      </w:r>
      <w:r>
        <w:rPr>
          <w:rFonts w:hint="eastAsia" w:ascii="宋体" w:hAnsi="宋体"/>
          <w:sz w:val="24"/>
        </w:rPr>
        <w:t>开学期间（以校历为准）</w:t>
      </w:r>
      <w:r>
        <w:rPr>
          <w:rFonts w:ascii="宋体" w:hAnsi="宋体"/>
          <w:sz w:val="24"/>
        </w:rPr>
        <w:t>，至少安排</w:t>
      </w:r>
      <w:r>
        <w:rPr>
          <w:rFonts w:hint="eastAsia" w:ascii="宋体" w:hAnsi="宋体"/>
          <w:sz w:val="24"/>
          <w:lang w:val="en-US" w:eastAsia="zh-CN"/>
        </w:rPr>
        <w:t>2名以上</w:t>
      </w:r>
      <w:r>
        <w:rPr>
          <w:rFonts w:ascii="宋体" w:hAnsi="宋体"/>
          <w:sz w:val="24"/>
        </w:rPr>
        <w:t>工程师提供常驻</w:t>
      </w:r>
      <w:r>
        <w:rPr>
          <w:rFonts w:hint="eastAsia" w:ascii="宋体" w:hAnsi="宋体"/>
          <w:sz w:val="24"/>
        </w:rPr>
        <w:t>校内</w:t>
      </w:r>
      <w:r>
        <w:rPr>
          <w:rFonts w:ascii="宋体" w:hAnsi="宋体"/>
          <w:sz w:val="24"/>
        </w:rPr>
        <w:t>现场服务</w:t>
      </w:r>
      <w:r>
        <w:rPr>
          <w:rFonts w:hint="eastAsia" w:ascii="宋体" w:hAnsi="宋体"/>
          <w:sz w:val="24"/>
        </w:rPr>
        <w:t>，</w:t>
      </w:r>
      <w:r>
        <w:rPr>
          <w:rFonts w:hint="eastAsia" w:ascii="宋体" w:hAnsi="宋体"/>
          <w:sz w:val="24"/>
          <w:lang w:val="en-US" w:eastAsia="zh-CN"/>
        </w:rPr>
        <w:t>另外开学第一周要求不少于5名工程师现场服务。</w:t>
      </w:r>
      <w:r>
        <w:rPr>
          <w:rFonts w:hint="eastAsia" w:ascii="宋体" w:hAnsi="宋体"/>
          <w:sz w:val="24"/>
        </w:rPr>
        <w:t>作息时间为工作日上午7:50-12：15、下午13:50-17:15，在运维服务范围内有设施任务的非工作期间（包括周末、晚上、寒暑假、法定假日等），至少</w:t>
      </w:r>
      <w:r>
        <w:rPr>
          <w:rFonts w:ascii="宋体" w:hAnsi="宋体"/>
          <w:sz w:val="24"/>
        </w:rPr>
        <w:t>保证</w:t>
      </w:r>
      <w:r>
        <w:rPr>
          <w:rFonts w:hint="eastAsia" w:ascii="宋体" w:hAnsi="宋体"/>
          <w:sz w:val="24"/>
        </w:rPr>
        <w:t>有一名</w:t>
      </w:r>
      <w:r>
        <w:rPr>
          <w:rFonts w:ascii="宋体" w:hAnsi="宋体"/>
          <w:sz w:val="24"/>
        </w:rPr>
        <w:t>工程师</w:t>
      </w:r>
      <w:r>
        <w:rPr>
          <w:rFonts w:hint="eastAsia" w:ascii="宋体" w:hAnsi="宋体"/>
          <w:sz w:val="24"/>
        </w:rPr>
        <w:t>全程在校值守，做好服务保障</w:t>
      </w:r>
      <w:r>
        <w:rPr>
          <w:rFonts w:ascii="宋体" w:hAnsi="宋体"/>
          <w:sz w:val="24"/>
        </w:rPr>
        <w:t>。</w:t>
      </w:r>
      <w:r>
        <w:rPr>
          <w:rFonts w:hint="eastAsia" w:ascii="宋体" w:hAnsi="宋体"/>
          <w:sz w:val="24"/>
        </w:rPr>
        <w:t>学</w:t>
      </w:r>
      <w:r>
        <w:rPr>
          <w:rFonts w:ascii="宋体" w:hAnsi="宋体"/>
          <w:sz w:val="24"/>
        </w:rPr>
        <w:t>校提供相应的办公</w:t>
      </w:r>
      <w:r>
        <w:rPr>
          <w:rFonts w:hint="eastAsia" w:ascii="宋体" w:hAnsi="宋体"/>
          <w:sz w:val="24"/>
        </w:rPr>
        <w:t>场地</w:t>
      </w:r>
      <w:r>
        <w:rPr>
          <w:rFonts w:ascii="宋体" w:hAnsi="宋体"/>
          <w:sz w:val="24"/>
        </w:rPr>
        <w:t>，驻场工程师</w:t>
      </w:r>
      <w:r>
        <w:rPr>
          <w:rFonts w:hint="eastAsia" w:ascii="宋体" w:hAnsi="宋体"/>
          <w:sz w:val="24"/>
        </w:rPr>
        <w:t>人员须</w:t>
      </w:r>
      <w:r>
        <w:rPr>
          <w:rFonts w:ascii="宋体" w:hAnsi="宋体"/>
          <w:sz w:val="24"/>
        </w:rPr>
        <w:t>经</w:t>
      </w:r>
      <w:r>
        <w:rPr>
          <w:rFonts w:hint="eastAsia" w:ascii="宋体" w:hAnsi="宋体"/>
          <w:sz w:val="24"/>
        </w:rPr>
        <w:t>学校审查，如实提供个人资料，经审查通过的人员</w:t>
      </w:r>
      <w:r>
        <w:rPr>
          <w:rFonts w:ascii="宋体" w:hAnsi="宋体"/>
          <w:sz w:val="24"/>
        </w:rPr>
        <w:t>不得随意更换，如因特殊原因</w:t>
      </w:r>
      <w:r>
        <w:rPr>
          <w:rFonts w:hint="eastAsia" w:ascii="宋体" w:hAnsi="宋体"/>
          <w:sz w:val="24"/>
        </w:rPr>
        <w:t>确</w:t>
      </w:r>
      <w:r>
        <w:rPr>
          <w:rFonts w:ascii="宋体" w:hAnsi="宋体"/>
          <w:sz w:val="24"/>
        </w:rPr>
        <w:t>需更换驻场工程师，</w:t>
      </w:r>
      <w:r>
        <w:rPr>
          <w:rFonts w:hint="eastAsia" w:ascii="宋体" w:hAnsi="宋体"/>
          <w:sz w:val="24"/>
        </w:rPr>
        <w:t>须提出得到学校同意认可的解决方案</w:t>
      </w:r>
      <w:r>
        <w:rPr>
          <w:rFonts w:ascii="宋体" w:hAnsi="宋体"/>
          <w:sz w:val="24"/>
        </w:rPr>
        <w:t>，不得出现人员空缺情况。</w:t>
      </w:r>
    </w:p>
    <w:p w14:paraId="1283B136">
      <w:pPr>
        <w:spacing w:line="360" w:lineRule="auto"/>
        <w:ind w:firstLine="480" w:firstLineChars="200"/>
        <w:rPr>
          <w:rFonts w:ascii="宋体" w:hAnsi="宋体"/>
          <w:sz w:val="24"/>
        </w:rPr>
      </w:pPr>
      <w:r>
        <w:rPr>
          <w:rFonts w:hint="eastAsia" w:ascii="宋体" w:hAnsi="宋体"/>
          <w:sz w:val="24"/>
        </w:rPr>
        <w:t>（</w:t>
      </w:r>
      <w:r>
        <w:rPr>
          <w:rFonts w:ascii="宋体" w:hAnsi="宋体"/>
          <w:sz w:val="24"/>
        </w:rPr>
        <w:t>2）驻场工程师</w:t>
      </w:r>
      <w:r>
        <w:rPr>
          <w:rFonts w:hint="eastAsia" w:ascii="宋体" w:hAnsi="宋体"/>
          <w:sz w:val="24"/>
        </w:rPr>
        <w:t>须</w:t>
      </w:r>
      <w:r>
        <w:rPr>
          <w:rFonts w:ascii="宋体" w:hAnsi="宋体"/>
          <w:sz w:val="24"/>
        </w:rPr>
        <w:t>提供优质服务，并接受和服从学校</w:t>
      </w:r>
      <w:r>
        <w:rPr>
          <w:rFonts w:hint="eastAsia" w:ascii="宋体" w:hAnsi="宋体"/>
          <w:sz w:val="24"/>
        </w:rPr>
        <w:t>的</w:t>
      </w:r>
      <w:r>
        <w:rPr>
          <w:rFonts w:ascii="宋体" w:hAnsi="宋体"/>
          <w:sz w:val="24"/>
        </w:rPr>
        <w:t>工作安排。</w:t>
      </w:r>
      <w:r>
        <w:rPr>
          <w:rFonts w:hint="eastAsia" w:ascii="宋体" w:hAnsi="宋体"/>
          <w:sz w:val="24"/>
        </w:rPr>
        <w:t>因驻场人员技术力量不足，不能做好及时保障时，须按需增派技术人员，以确保运维服务响应时效和服务质量。如</w:t>
      </w:r>
      <w:r>
        <w:rPr>
          <w:rFonts w:ascii="宋体" w:hAnsi="宋体"/>
          <w:sz w:val="24"/>
        </w:rPr>
        <w:t>遇学校临时性的重大活动</w:t>
      </w:r>
      <w:r>
        <w:rPr>
          <w:rFonts w:hint="eastAsia" w:ascii="宋体" w:hAnsi="宋体"/>
          <w:sz w:val="24"/>
        </w:rPr>
        <w:t>（</w:t>
      </w:r>
      <w:r>
        <w:rPr>
          <w:rFonts w:ascii="宋体" w:hAnsi="宋体"/>
          <w:sz w:val="24"/>
        </w:rPr>
        <w:t>如</w:t>
      </w:r>
      <w:r>
        <w:rPr>
          <w:rFonts w:hint="eastAsia" w:ascii="宋体" w:hAnsi="宋体"/>
          <w:sz w:val="24"/>
        </w:rPr>
        <w:t>大型会议、大型讲座报告、大型比赛、重要考试</w:t>
      </w:r>
      <w:r>
        <w:rPr>
          <w:rFonts w:ascii="宋体" w:hAnsi="宋体"/>
          <w:sz w:val="24"/>
        </w:rPr>
        <w:t>等）</w:t>
      </w:r>
      <w:r>
        <w:rPr>
          <w:rFonts w:hint="eastAsia" w:ascii="宋体" w:hAnsi="宋体"/>
          <w:sz w:val="24"/>
        </w:rPr>
        <w:t>时，须接受学校信息技术部门的统筹安排，安排专业音视频、数字媒体、网络等工程技术人员协助参与</w:t>
      </w:r>
      <w:r>
        <w:rPr>
          <w:rFonts w:ascii="宋体" w:hAnsi="宋体"/>
          <w:sz w:val="24"/>
        </w:rPr>
        <w:t>现场</w:t>
      </w:r>
      <w:r>
        <w:rPr>
          <w:rFonts w:hint="eastAsia" w:ascii="宋体" w:hAnsi="宋体"/>
          <w:sz w:val="24"/>
        </w:rPr>
        <w:t>技术</w:t>
      </w:r>
      <w:r>
        <w:rPr>
          <w:rFonts w:ascii="宋体" w:hAnsi="宋体"/>
          <w:sz w:val="24"/>
        </w:rPr>
        <w:t>值守</w:t>
      </w:r>
      <w:r>
        <w:rPr>
          <w:rFonts w:hint="eastAsia" w:ascii="宋体" w:hAnsi="宋体"/>
          <w:sz w:val="24"/>
        </w:rPr>
        <w:t>和支持,</w:t>
      </w:r>
      <w:r>
        <w:rPr>
          <w:rFonts w:ascii="宋体" w:hAnsi="宋体"/>
          <w:sz w:val="24"/>
        </w:rPr>
        <w:t>在指定</w:t>
      </w:r>
      <w:r>
        <w:rPr>
          <w:rFonts w:hint="eastAsia" w:ascii="宋体" w:hAnsi="宋体"/>
          <w:sz w:val="24"/>
        </w:rPr>
        <w:t>时间地点</w:t>
      </w:r>
      <w:r>
        <w:rPr>
          <w:rFonts w:ascii="宋体" w:hAnsi="宋体"/>
          <w:sz w:val="24"/>
        </w:rPr>
        <w:t>对设备进行专业化操作和</w:t>
      </w:r>
      <w:r>
        <w:rPr>
          <w:rFonts w:hint="eastAsia" w:ascii="宋体" w:hAnsi="宋体"/>
          <w:sz w:val="24"/>
        </w:rPr>
        <w:t>管理</w:t>
      </w:r>
      <w:r>
        <w:rPr>
          <w:rFonts w:ascii="宋体" w:hAnsi="宋体"/>
          <w:sz w:val="24"/>
        </w:rPr>
        <w:t>满足实际重要活动的重要场景及功能使用</w:t>
      </w:r>
      <w:r>
        <w:rPr>
          <w:rFonts w:hint="eastAsia" w:ascii="宋体" w:hAnsi="宋体"/>
          <w:sz w:val="24"/>
        </w:rPr>
        <w:t>保障</w:t>
      </w:r>
      <w:r>
        <w:rPr>
          <w:rFonts w:ascii="宋体" w:hAnsi="宋体"/>
          <w:sz w:val="24"/>
        </w:rPr>
        <w:t>。</w:t>
      </w:r>
      <w:r>
        <w:rPr>
          <w:rFonts w:hint="eastAsia" w:ascii="宋体" w:hAnsi="宋体"/>
          <w:sz w:val="24"/>
        </w:rPr>
        <w:t>中标人</w:t>
      </w:r>
      <w:r>
        <w:rPr>
          <w:rFonts w:ascii="宋体" w:hAnsi="宋体"/>
          <w:sz w:val="24"/>
        </w:rPr>
        <w:t>的报价包含以上服务</w:t>
      </w:r>
      <w:r>
        <w:rPr>
          <w:rFonts w:hint="eastAsia" w:ascii="宋体" w:hAnsi="宋体"/>
          <w:sz w:val="24"/>
        </w:rPr>
        <w:t>要求</w:t>
      </w:r>
      <w:r>
        <w:rPr>
          <w:rFonts w:ascii="宋体" w:hAnsi="宋体"/>
          <w:sz w:val="24"/>
        </w:rPr>
        <w:t>，招标人不另外支付费用。</w:t>
      </w:r>
    </w:p>
    <w:p w14:paraId="0A180298">
      <w:pPr>
        <w:spacing w:line="360" w:lineRule="auto"/>
        <w:ind w:firstLine="480" w:firstLineChars="200"/>
        <w:rPr>
          <w:rFonts w:ascii="宋体" w:hAnsi="宋体"/>
          <w:sz w:val="24"/>
        </w:rPr>
      </w:pPr>
      <w:r>
        <w:rPr>
          <w:rFonts w:hint="eastAsia" w:ascii="宋体" w:hAnsi="宋体"/>
          <w:sz w:val="24"/>
        </w:rPr>
        <w:t>（3）驻场工程师（包括更换的驻场工程师）须在中标人企业缴纳社保，并提供社保证明。</w:t>
      </w:r>
    </w:p>
    <w:p w14:paraId="29E3DC05">
      <w:pPr>
        <w:spacing w:line="360" w:lineRule="auto"/>
        <w:ind w:firstLine="480" w:firstLineChars="200"/>
        <w:rPr>
          <w:rFonts w:ascii="宋体" w:hAnsi="宋体"/>
          <w:sz w:val="24"/>
        </w:rPr>
      </w:pPr>
      <w:r>
        <w:rPr>
          <w:rFonts w:ascii="宋体" w:hAnsi="宋体"/>
          <w:sz w:val="24"/>
        </w:rPr>
        <w:t>2、具有能提供服务管理相关数据的系统</w:t>
      </w:r>
    </w:p>
    <w:p w14:paraId="66EB6D02">
      <w:pPr>
        <w:spacing w:line="360" w:lineRule="auto"/>
        <w:ind w:firstLine="480" w:firstLineChars="200"/>
        <w:rPr>
          <w:rFonts w:ascii="宋体" w:hAnsi="宋体"/>
          <w:sz w:val="24"/>
        </w:rPr>
      </w:pPr>
      <w:r>
        <w:rPr>
          <w:rFonts w:hint="eastAsia" w:ascii="宋体" w:hAnsi="宋体"/>
          <w:sz w:val="24"/>
        </w:rPr>
        <w:t>随着学校智慧教室的建设，多媒体教室数量逐渐增加，设备集成越来越复杂，同时维保人员的技术水平参差不齐，需要管理的设备概况及设备故障数据不能形成有效的知识库。</w:t>
      </w:r>
    </w:p>
    <w:p w14:paraId="578FDE07">
      <w:pPr>
        <w:spacing w:line="360" w:lineRule="auto"/>
        <w:ind w:firstLine="480" w:firstLineChars="200"/>
        <w:rPr>
          <w:rFonts w:ascii="宋体" w:hAnsi="宋体"/>
          <w:sz w:val="24"/>
        </w:rPr>
      </w:pPr>
      <w:r>
        <w:rPr>
          <w:rFonts w:hint="eastAsia" w:ascii="宋体" w:hAnsi="宋体"/>
          <w:sz w:val="24"/>
        </w:rPr>
        <w:t>中标服务商须具有能独立提供服务管理相关数据的系统，数据需包含并不限于以下内容：相关服务的故障列表；设备故障的类型；设备类型等数据等，配合学校要求对相关设备及其运行、维护维修数据进行统计和分析。</w:t>
      </w:r>
    </w:p>
    <w:p w14:paraId="24C999DD">
      <w:pPr>
        <w:spacing w:line="360" w:lineRule="auto"/>
        <w:rPr>
          <w:rFonts w:ascii="宋体" w:hAnsi="宋体"/>
          <w:b/>
          <w:kern w:val="0"/>
          <w:sz w:val="28"/>
          <w:szCs w:val="21"/>
        </w:rPr>
      </w:pPr>
      <w:r>
        <w:rPr>
          <w:rFonts w:hint="eastAsia" w:ascii="宋体" w:hAnsi="宋体"/>
          <w:b/>
          <w:kern w:val="0"/>
          <w:sz w:val="28"/>
          <w:szCs w:val="21"/>
        </w:rPr>
        <w:t>五、服务响应要求</w:t>
      </w:r>
    </w:p>
    <w:p w14:paraId="3031F12B">
      <w:pPr>
        <w:spacing w:line="360" w:lineRule="auto"/>
        <w:ind w:firstLine="480" w:firstLineChars="200"/>
        <w:rPr>
          <w:rFonts w:ascii="宋体" w:hAnsi="宋体"/>
          <w:sz w:val="24"/>
        </w:rPr>
      </w:pPr>
      <w:r>
        <w:rPr>
          <w:rFonts w:ascii="宋体" w:hAnsi="宋体"/>
          <w:sz w:val="24"/>
        </w:rPr>
        <w:t>1、当设备发生故障接到报修后，要求驻场工程师</w:t>
      </w:r>
      <w:r>
        <w:rPr>
          <w:rFonts w:hint="eastAsia" w:ascii="宋体" w:hAnsi="宋体"/>
          <w:sz w:val="24"/>
        </w:rPr>
        <w:t>立即</w:t>
      </w:r>
      <w:r>
        <w:rPr>
          <w:rFonts w:ascii="宋体" w:hAnsi="宋体"/>
          <w:sz w:val="24"/>
        </w:rPr>
        <w:t>响应</w:t>
      </w:r>
      <w:r>
        <w:rPr>
          <w:rFonts w:hint="eastAsia" w:ascii="宋体" w:hAnsi="宋体"/>
          <w:sz w:val="24"/>
        </w:rPr>
        <w:t>，需要到</w:t>
      </w:r>
      <w:r>
        <w:rPr>
          <w:rFonts w:ascii="宋体" w:hAnsi="宋体"/>
          <w:sz w:val="24"/>
        </w:rPr>
        <w:t>现场</w:t>
      </w:r>
      <w:r>
        <w:rPr>
          <w:rFonts w:hint="eastAsia" w:ascii="宋体" w:hAnsi="宋体"/>
          <w:sz w:val="24"/>
        </w:rPr>
        <w:t>的，10分钟之内到达，及时排除故障，</w:t>
      </w:r>
      <w:r>
        <w:rPr>
          <w:rFonts w:ascii="宋体" w:hAnsi="宋体"/>
          <w:sz w:val="24"/>
        </w:rPr>
        <w:t>如设备不能修复的，立即更换由</w:t>
      </w:r>
      <w:r>
        <w:rPr>
          <w:rFonts w:hint="eastAsia" w:ascii="宋体" w:hAnsi="宋体"/>
          <w:sz w:val="24"/>
        </w:rPr>
        <w:t>学校</w:t>
      </w:r>
      <w:r>
        <w:rPr>
          <w:rFonts w:ascii="宋体" w:hAnsi="宋体"/>
          <w:sz w:val="24"/>
        </w:rPr>
        <w:t>提供</w:t>
      </w:r>
      <w:r>
        <w:rPr>
          <w:rFonts w:hint="eastAsia" w:ascii="宋体" w:hAnsi="宋体"/>
          <w:sz w:val="24"/>
        </w:rPr>
        <w:t>的</w:t>
      </w:r>
      <w:r>
        <w:rPr>
          <w:rFonts w:ascii="宋体" w:hAnsi="宋体"/>
          <w:sz w:val="24"/>
        </w:rPr>
        <w:t>备用设备。</w:t>
      </w:r>
    </w:p>
    <w:p w14:paraId="7C3B9035">
      <w:pPr>
        <w:spacing w:line="360" w:lineRule="auto"/>
        <w:ind w:firstLine="480" w:firstLineChars="200"/>
        <w:rPr>
          <w:rFonts w:ascii="宋体" w:hAnsi="宋体"/>
          <w:sz w:val="24"/>
        </w:rPr>
      </w:pPr>
      <w:r>
        <w:rPr>
          <w:rFonts w:ascii="宋体" w:hAnsi="宋体"/>
          <w:sz w:val="24"/>
        </w:rPr>
        <w:t>2、服务报告</w:t>
      </w:r>
    </w:p>
    <w:p w14:paraId="3A15D690">
      <w:pPr>
        <w:spacing w:line="360" w:lineRule="auto"/>
        <w:ind w:firstLine="480" w:firstLineChars="200"/>
      </w:pPr>
      <w:r>
        <w:rPr>
          <w:rFonts w:hint="eastAsia" w:ascii="宋体" w:hAnsi="宋体"/>
          <w:sz w:val="24"/>
        </w:rPr>
        <w:t>运维服务工作须做好登记工作，所有的服务请求均需在系统内登记好维修地点、故障现象、报修老师及联系方式、解决办法及效果等。</w:t>
      </w:r>
    </w:p>
    <w:p w14:paraId="410CFA59">
      <w:pPr>
        <w:spacing w:line="360" w:lineRule="auto"/>
        <w:rPr>
          <w:rFonts w:ascii="宋体" w:hAnsi="宋体"/>
          <w:b/>
          <w:kern w:val="0"/>
          <w:sz w:val="28"/>
          <w:szCs w:val="21"/>
        </w:rPr>
      </w:pPr>
      <w:r>
        <w:rPr>
          <w:rFonts w:hint="eastAsia" w:ascii="宋体" w:hAnsi="宋体"/>
          <w:b/>
          <w:kern w:val="0"/>
          <w:sz w:val="28"/>
          <w:szCs w:val="21"/>
        </w:rPr>
        <w:t>八、管理服务质量、考核及违约责任</w:t>
      </w:r>
    </w:p>
    <w:p w14:paraId="71E4648C">
      <w:pPr>
        <w:spacing w:line="360" w:lineRule="auto"/>
        <w:ind w:firstLine="480" w:firstLineChars="200"/>
        <w:rPr>
          <w:rFonts w:ascii="宋体" w:hAnsi="宋体"/>
          <w:sz w:val="24"/>
        </w:rPr>
      </w:pPr>
      <w:r>
        <w:rPr>
          <w:rFonts w:ascii="宋体" w:hAnsi="宋体"/>
          <w:sz w:val="24"/>
        </w:rPr>
        <w:t>1、中标方不能按要求派驻现场工程师，则视为中标方合同违约，招标人有权</w:t>
      </w:r>
      <w:r>
        <w:rPr>
          <w:rFonts w:hint="eastAsia" w:ascii="宋体" w:hAnsi="宋体"/>
          <w:sz w:val="24"/>
        </w:rPr>
        <w:t>解除合同并追究乙方相应的法律责任。</w:t>
      </w:r>
    </w:p>
    <w:p w14:paraId="26567EB9">
      <w:pPr>
        <w:spacing w:line="360" w:lineRule="auto"/>
        <w:ind w:firstLine="480" w:firstLineChars="200"/>
        <w:rPr>
          <w:rFonts w:ascii="宋体" w:hAnsi="宋体"/>
          <w:sz w:val="24"/>
        </w:rPr>
      </w:pPr>
      <w:r>
        <w:rPr>
          <w:rFonts w:ascii="宋体" w:hAnsi="宋体"/>
          <w:sz w:val="24"/>
        </w:rPr>
        <w:t>2、</w:t>
      </w:r>
      <w:r>
        <w:rPr>
          <w:rFonts w:hint="eastAsia" w:ascii="宋体" w:hAnsi="宋体"/>
          <w:sz w:val="24"/>
        </w:rPr>
        <w:t>运维</w:t>
      </w:r>
      <w:r>
        <w:rPr>
          <w:rFonts w:ascii="宋体" w:hAnsi="宋体"/>
          <w:sz w:val="24"/>
        </w:rPr>
        <w:t>服务期间内，必须注意安全。如在</w:t>
      </w:r>
      <w:r>
        <w:rPr>
          <w:rFonts w:hint="eastAsia" w:ascii="宋体" w:hAnsi="宋体"/>
          <w:sz w:val="24"/>
        </w:rPr>
        <w:t>运维工作过程中，因运维人员原因</w:t>
      </w:r>
      <w:r>
        <w:rPr>
          <w:rFonts w:ascii="宋体" w:hAnsi="宋体"/>
          <w:sz w:val="24"/>
        </w:rPr>
        <w:t>发生意外，人身安全造成了损伤，或者相关设备发生</w:t>
      </w:r>
      <w:r>
        <w:rPr>
          <w:rFonts w:hint="eastAsia" w:ascii="宋体" w:hAnsi="宋体"/>
          <w:sz w:val="24"/>
        </w:rPr>
        <w:t>损坏</w:t>
      </w:r>
      <w:r>
        <w:rPr>
          <w:rFonts w:ascii="宋体" w:hAnsi="宋体"/>
          <w:sz w:val="24"/>
        </w:rPr>
        <w:t>、爆炸、燃烧等安全事故，由中标方承担一切责任。同时中标方负责管理服务人员的工资、保险（包括意外险）、 住宿等一切事宜。</w:t>
      </w:r>
    </w:p>
    <w:p w14:paraId="54CF26EB">
      <w:pPr>
        <w:spacing w:line="360" w:lineRule="auto"/>
        <w:ind w:firstLine="480" w:firstLineChars="200"/>
        <w:rPr>
          <w:rFonts w:ascii="宋体" w:hAnsi="宋体"/>
          <w:sz w:val="24"/>
        </w:rPr>
      </w:pPr>
      <w:r>
        <w:rPr>
          <w:rFonts w:ascii="宋体" w:hAnsi="宋体"/>
          <w:sz w:val="24"/>
        </w:rPr>
        <w:t>3、管理服务日常工作中必备的各类工具、手套、扶梯等，由中标方</w:t>
      </w:r>
      <w:r>
        <w:rPr>
          <w:rFonts w:hint="eastAsia" w:ascii="宋体" w:hAnsi="宋体"/>
          <w:sz w:val="24"/>
        </w:rPr>
        <w:t>自备，所需要配件、耗材、线缆等由学校提供。</w:t>
      </w:r>
    </w:p>
    <w:p w14:paraId="323609FC">
      <w:pPr>
        <w:spacing w:line="360" w:lineRule="auto"/>
        <w:ind w:firstLine="480" w:firstLineChars="200"/>
        <w:rPr>
          <w:rFonts w:ascii="宋体" w:hAnsi="宋体"/>
          <w:sz w:val="24"/>
        </w:rPr>
      </w:pPr>
      <w:r>
        <w:rPr>
          <w:rFonts w:hint="eastAsia" w:ascii="宋体" w:hAnsi="宋体"/>
          <w:sz w:val="24"/>
        </w:rPr>
        <w:t>4</w:t>
      </w:r>
      <w:r>
        <w:rPr>
          <w:rFonts w:ascii="宋体" w:hAnsi="宋体"/>
          <w:sz w:val="24"/>
        </w:rPr>
        <w:t>、在服务期内，招标人将定期对驻场工程师进行考核，若考核不合格，招标人有权要求中标方更换驻场工程师。</w:t>
      </w:r>
    </w:p>
    <w:p w14:paraId="1D6BCC30">
      <w:pPr>
        <w:spacing w:line="360" w:lineRule="auto"/>
        <w:ind w:firstLine="480" w:firstLineChars="200"/>
        <w:rPr>
          <w:rFonts w:ascii="宋体" w:hAnsi="宋体"/>
          <w:sz w:val="24"/>
        </w:rPr>
      </w:pPr>
      <w:r>
        <w:rPr>
          <w:rFonts w:hint="eastAsia" w:ascii="宋体" w:hAnsi="宋体"/>
          <w:sz w:val="24"/>
        </w:rPr>
        <w:t>5、服务期满考核</w:t>
      </w:r>
    </w:p>
    <w:p w14:paraId="39043081">
      <w:pPr>
        <w:spacing w:line="360" w:lineRule="auto"/>
        <w:ind w:firstLine="480" w:firstLineChars="200"/>
        <w:rPr>
          <w:rFonts w:ascii="宋体" w:hAnsi="宋体"/>
          <w:sz w:val="24"/>
        </w:rPr>
      </w:pPr>
      <w:r>
        <w:rPr>
          <w:rFonts w:hint="eastAsia" w:ascii="宋体" w:hAnsi="宋体"/>
          <w:sz w:val="24"/>
        </w:rPr>
        <w:t>（1）考核主要内容：</w:t>
      </w:r>
    </w:p>
    <w:p w14:paraId="721034BE">
      <w:pPr>
        <w:spacing w:line="360" w:lineRule="auto"/>
        <w:ind w:firstLine="480" w:firstLineChars="200"/>
        <w:rPr>
          <w:rFonts w:ascii="宋体" w:hAnsi="宋体"/>
          <w:sz w:val="24"/>
        </w:rPr>
      </w:pPr>
      <w:r>
        <w:rPr>
          <w:rFonts w:hint="eastAsia" w:ascii="宋体" w:hAnsi="宋体"/>
          <w:sz w:val="24"/>
        </w:rPr>
        <w:t>考勤：驻场人员无故迟到或早退，每次扣</w:t>
      </w:r>
      <w:r>
        <w:rPr>
          <w:rFonts w:ascii="宋体" w:hAnsi="宋体"/>
          <w:sz w:val="24"/>
        </w:rPr>
        <w:t>1</w:t>
      </w:r>
      <w:r>
        <w:rPr>
          <w:rFonts w:hint="eastAsia" w:ascii="宋体" w:hAnsi="宋体"/>
          <w:sz w:val="24"/>
        </w:rPr>
        <w:t>分；在服务范围内无故不服从校方工作安排，每次扣2分；</w:t>
      </w:r>
    </w:p>
    <w:p w14:paraId="5081D261">
      <w:pPr>
        <w:spacing w:line="360" w:lineRule="auto"/>
        <w:ind w:firstLine="480" w:firstLineChars="200"/>
        <w:rPr>
          <w:rFonts w:ascii="宋体" w:hAnsi="宋体"/>
          <w:sz w:val="24"/>
        </w:rPr>
      </w:pPr>
      <w:r>
        <w:rPr>
          <w:rFonts w:hint="eastAsia" w:ascii="宋体" w:hAnsi="宋体"/>
          <w:sz w:val="24"/>
        </w:rPr>
        <w:t>故障响应时间：单次无理由响应时间超过1</w:t>
      </w:r>
      <w:r>
        <w:rPr>
          <w:rFonts w:ascii="宋体" w:hAnsi="宋体"/>
          <w:sz w:val="24"/>
        </w:rPr>
        <w:t>5</w:t>
      </w:r>
      <w:r>
        <w:rPr>
          <w:rFonts w:hint="eastAsia" w:ascii="宋体" w:hAnsi="宋体"/>
          <w:sz w:val="24"/>
        </w:rPr>
        <w:t>分钟，每次扣1分，超过30分钟的扣2分；</w:t>
      </w:r>
    </w:p>
    <w:p w14:paraId="2FCC34B3">
      <w:pPr>
        <w:spacing w:line="360" w:lineRule="auto"/>
        <w:ind w:firstLine="480" w:firstLineChars="200"/>
        <w:rPr>
          <w:rFonts w:ascii="宋体" w:hAnsi="宋体"/>
          <w:sz w:val="24"/>
        </w:rPr>
      </w:pPr>
      <w:r>
        <w:rPr>
          <w:rFonts w:hint="eastAsia" w:ascii="宋体" w:hAnsi="宋体"/>
          <w:sz w:val="24"/>
        </w:rPr>
        <w:t>维护维修有效性：经校方技术核实，属于可以修复的故障而未及时有效完成修复，每次扣1分；</w:t>
      </w:r>
    </w:p>
    <w:p w14:paraId="69C82681">
      <w:pPr>
        <w:spacing w:line="360" w:lineRule="auto"/>
        <w:ind w:firstLine="480" w:firstLineChars="200"/>
        <w:rPr>
          <w:rFonts w:ascii="宋体" w:hAnsi="宋体"/>
          <w:sz w:val="24"/>
        </w:rPr>
      </w:pPr>
      <w:r>
        <w:rPr>
          <w:rFonts w:hint="eastAsia" w:ascii="宋体" w:hAnsi="宋体"/>
          <w:sz w:val="24"/>
        </w:rPr>
        <w:t>教师投诉：经校方核实有效的投诉（主要包含服务态度差、无故不及时响应等），每次扣2分；</w:t>
      </w:r>
    </w:p>
    <w:p w14:paraId="6CC07B30">
      <w:pPr>
        <w:spacing w:line="360" w:lineRule="auto"/>
        <w:ind w:firstLine="480" w:firstLineChars="200"/>
        <w:rPr>
          <w:rFonts w:ascii="宋体" w:hAnsi="宋体"/>
          <w:sz w:val="24"/>
        </w:rPr>
      </w:pPr>
      <w:r>
        <w:rPr>
          <w:rFonts w:hint="eastAsia" w:ascii="宋体" w:hAnsi="宋体"/>
          <w:sz w:val="24"/>
        </w:rPr>
        <w:t>更换驻场人员：在一个服务期内更换驻场人员，每人次扣</w:t>
      </w:r>
      <w:r>
        <w:rPr>
          <w:rFonts w:ascii="宋体" w:hAnsi="宋体"/>
          <w:sz w:val="24"/>
        </w:rPr>
        <w:t>5</w:t>
      </w:r>
      <w:r>
        <w:rPr>
          <w:rFonts w:hint="eastAsia" w:ascii="宋体" w:hAnsi="宋体"/>
          <w:sz w:val="24"/>
        </w:rPr>
        <w:t>分。</w:t>
      </w:r>
    </w:p>
    <w:p w14:paraId="05CBD5F7">
      <w:pPr>
        <w:spacing w:line="360" w:lineRule="auto"/>
        <w:ind w:firstLine="480" w:firstLineChars="200"/>
        <w:rPr>
          <w:rFonts w:ascii="宋体" w:hAnsi="宋体"/>
          <w:sz w:val="24"/>
        </w:rPr>
      </w:pPr>
      <w:r>
        <w:rPr>
          <w:rFonts w:hint="eastAsia" w:ascii="宋体" w:hAnsi="宋体"/>
          <w:sz w:val="24"/>
        </w:rPr>
        <w:t>（2）考核结果运用</w:t>
      </w:r>
    </w:p>
    <w:p w14:paraId="1935066F">
      <w:pPr>
        <w:spacing w:line="360" w:lineRule="auto"/>
        <w:ind w:firstLine="480" w:firstLineChars="200"/>
        <w:rPr>
          <w:rFonts w:ascii="宋体" w:hAnsi="宋体"/>
          <w:sz w:val="24"/>
        </w:rPr>
      </w:pPr>
      <w:r>
        <w:rPr>
          <w:rFonts w:hint="eastAsia" w:ascii="宋体" w:hAnsi="宋体"/>
          <w:sz w:val="24"/>
        </w:rPr>
        <w:t>经认定的考核扣分，每1分累计扣减服务费1</w:t>
      </w:r>
      <w:r>
        <w:rPr>
          <w:rFonts w:ascii="宋体" w:hAnsi="宋体"/>
          <w:sz w:val="24"/>
        </w:rPr>
        <w:t>00</w:t>
      </w:r>
      <w:r>
        <w:rPr>
          <w:rFonts w:hint="eastAsia" w:ascii="宋体" w:hAnsi="宋体"/>
          <w:sz w:val="24"/>
        </w:rPr>
        <w:t>元，招标人在中期和服务期满考核后的支付的服务费中扣除相应金额。如中期考核时扣分超过1</w:t>
      </w:r>
      <w:r>
        <w:rPr>
          <w:rFonts w:ascii="宋体" w:hAnsi="宋体"/>
          <w:sz w:val="24"/>
        </w:rPr>
        <w:t>0</w:t>
      </w:r>
      <w:r>
        <w:rPr>
          <w:rFonts w:hint="eastAsia" w:ascii="宋体" w:hAnsi="宋体"/>
          <w:sz w:val="24"/>
        </w:rPr>
        <w:t>分，招标人有权提出终止服务合同。</w:t>
      </w:r>
    </w:p>
    <w:p w14:paraId="5DE4D605">
      <w:pPr>
        <w:spacing w:line="360" w:lineRule="auto"/>
        <w:rPr>
          <w:rFonts w:ascii="宋体" w:hAnsi="宋体"/>
          <w:b/>
          <w:kern w:val="0"/>
          <w:sz w:val="28"/>
          <w:szCs w:val="21"/>
        </w:rPr>
      </w:pPr>
      <w:r>
        <w:rPr>
          <w:rFonts w:hint="eastAsia" w:ascii="宋体" w:hAnsi="宋体"/>
          <w:b/>
          <w:kern w:val="0"/>
          <w:sz w:val="28"/>
          <w:szCs w:val="21"/>
        </w:rPr>
        <w:t>九、管理服务经费的支付</w:t>
      </w:r>
    </w:p>
    <w:p w14:paraId="5A09CE92">
      <w:pPr>
        <w:spacing w:line="360" w:lineRule="auto"/>
        <w:ind w:firstLine="480" w:firstLineChars="200"/>
        <w:rPr>
          <w:rFonts w:ascii="宋体" w:hAnsi="宋体"/>
          <w:sz w:val="24"/>
        </w:rPr>
      </w:pPr>
      <w:r>
        <w:rPr>
          <w:rFonts w:ascii="宋体" w:hAnsi="宋体"/>
          <w:sz w:val="24"/>
        </w:rPr>
        <w:t>1、付款：合同签订后</w:t>
      </w:r>
      <w:r>
        <w:rPr>
          <w:rFonts w:hint="eastAsia" w:ascii="宋体" w:hAnsi="宋体"/>
          <w:sz w:val="24"/>
        </w:rPr>
        <w:t>在服务期结束前进行考核验收，验收合格后，减去考核扣减服务费，</w:t>
      </w:r>
      <w:r>
        <w:rPr>
          <w:rFonts w:ascii="宋体" w:hAnsi="宋体"/>
          <w:sz w:val="24"/>
        </w:rPr>
        <w:t>一次性支付给中标方</w:t>
      </w:r>
      <w:r>
        <w:rPr>
          <w:rFonts w:hint="eastAsia" w:ascii="宋体" w:hAnsi="宋体"/>
          <w:sz w:val="24"/>
        </w:rPr>
        <w:t>。</w:t>
      </w:r>
    </w:p>
    <w:p w14:paraId="0B271C23">
      <w:pPr>
        <w:spacing w:line="360" w:lineRule="auto"/>
        <w:ind w:firstLine="480" w:firstLineChars="200"/>
        <w:rPr>
          <w:rFonts w:ascii="宋体" w:hAnsi="宋体"/>
          <w:sz w:val="24"/>
        </w:rPr>
      </w:pPr>
      <w:r>
        <w:rPr>
          <w:rFonts w:ascii="宋体" w:hAnsi="宋体"/>
          <w:sz w:val="24"/>
        </w:rPr>
        <w:t>2、在服务期内，如遇到服务质量不满意，影响正常的教育教学，招标人向中标</w:t>
      </w:r>
      <w:r>
        <w:rPr>
          <w:rFonts w:hint="eastAsia" w:ascii="宋体" w:hAnsi="宋体"/>
          <w:sz w:val="24"/>
        </w:rPr>
        <w:t>方提出整改意见。提出整改意见后，限期仍未整改到位的，招标人有权提出终止服务合同，一切后果由中标方承担。</w:t>
      </w:r>
    </w:p>
    <w:p w14:paraId="1343DE28">
      <w:pPr>
        <w:spacing w:line="360" w:lineRule="auto"/>
        <w:rPr>
          <w:rFonts w:ascii="宋体" w:hAnsi="宋体"/>
          <w:b/>
          <w:kern w:val="0"/>
          <w:sz w:val="28"/>
          <w:szCs w:val="21"/>
        </w:rPr>
      </w:pPr>
      <w:r>
        <w:rPr>
          <w:rFonts w:hint="eastAsia" w:ascii="宋体" w:hAnsi="宋体"/>
          <w:b/>
          <w:kern w:val="0"/>
          <w:sz w:val="28"/>
          <w:szCs w:val="21"/>
        </w:rPr>
        <w:t>十、其他要求</w:t>
      </w:r>
    </w:p>
    <w:p w14:paraId="557B1F22">
      <w:pPr>
        <w:spacing w:line="360" w:lineRule="auto"/>
        <w:ind w:firstLine="480" w:firstLineChars="200"/>
        <w:rPr>
          <w:rFonts w:ascii="宋体" w:hAnsi="宋体"/>
          <w:sz w:val="24"/>
        </w:rPr>
      </w:pPr>
      <w:r>
        <w:rPr>
          <w:rFonts w:hint="eastAsia" w:ascii="宋体" w:hAnsi="宋体"/>
          <w:sz w:val="24"/>
        </w:rPr>
        <w:t>1、现场勘察</w:t>
      </w:r>
    </w:p>
    <w:p w14:paraId="60CCBD99">
      <w:pPr>
        <w:spacing w:line="360" w:lineRule="auto"/>
        <w:ind w:firstLine="480" w:firstLineChars="200"/>
        <w:rPr>
          <w:rFonts w:ascii="宋体" w:hAnsi="宋体"/>
          <w:sz w:val="24"/>
        </w:rPr>
      </w:pPr>
      <w:r>
        <w:rPr>
          <w:rFonts w:hint="eastAsia" w:ascii="宋体" w:hAnsi="宋体"/>
          <w:sz w:val="24"/>
        </w:rPr>
        <w:t>潜在供应商投标前请联系项目联系人，并到现场勘察了解维护的范围、设施状态等现有情况，因未经勘察而造成的后果自负。</w:t>
      </w:r>
    </w:p>
    <w:p w14:paraId="7A9CA197">
      <w:pPr>
        <w:spacing w:line="360" w:lineRule="auto"/>
        <w:ind w:firstLine="480" w:firstLineChars="200"/>
        <w:rPr>
          <w:rFonts w:ascii="宋体" w:hAnsi="宋体"/>
          <w:sz w:val="24"/>
        </w:rPr>
      </w:pPr>
      <w:r>
        <w:rPr>
          <w:rFonts w:hint="eastAsia" w:ascii="宋体" w:hAnsi="宋体"/>
          <w:sz w:val="24"/>
        </w:rPr>
        <w:t>2、投标资料：</w:t>
      </w:r>
    </w:p>
    <w:p w14:paraId="1D3C2843">
      <w:pPr>
        <w:spacing w:line="360" w:lineRule="auto"/>
        <w:ind w:firstLine="480" w:firstLineChars="200"/>
        <w:rPr>
          <w:rFonts w:ascii="宋体" w:hAnsi="宋体"/>
          <w:sz w:val="24"/>
        </w:rPr>
      </w:pPr>
      <w:r>
        <w:rPr>
          <w:rFonts w:hint="eastAsia" w:ascii="宋体" w:hAnsi="宋体"/>
          <w:sz w:val="24"/>
        </w:rPr>
        <w:t>供应商须提供下述详细的服务方案（包括但不限于）：</w:t>
      </w:r>
    </w:p>
    <w:p w14:paraId="4F710498">
      <w:pPr>
        <w:spacing w:line="360" w:lineRule="auto"/>
        <w:ind w:firstLine="480" w:firstLineChars="200"/>
        <w:rPr>
          <w:rFonts w:ascii="宋体" w:hAnsi="宋体"/>
          <w:sz w:val="24"/>
        </w:rPr>
      </w:pPr>
      <w:r>
        <w:rPr>
          <w:rFonts w:hint="eastAsia" w:ascii="宋体" w:hAnsi="宋体"/>
          <w:sz w:val="24"/>
        </w:rPr>
        <w:t>（1）</w:t>
      </w:r>
      <w:r>
        <w:rPr>
          <w:rFonts w:ascii="宋体" w:hAnsi="宋体"/>
          <w:sz w:val="24"/>
        </w:rPr>
        <w:t>服务方案：包括服务理念、管理架构、达到的服务目标和承诺、对服务项目的理解、具体实施机构、服务的内容、工作程序（流程）、文件归档措施等。</w:t>
      </w:r>
    </w:p>
    <w:p w14:paraId="1D67E466">
      <w:pPr>
        <w:spacing w:line="360" w:lineRule="auto"/>
        <w:ind w:firstLine="480" w:firstLineChars="200"/>
        <w:rPr>
          <w:rFonts w:ascii="宋体" w:hAnsi="宋体"/>
          <w:sz w:val="24"/>
        </w:rPr>
      </w:pPr>
      <w:r>
        <w:rPr>
          <w:rFonts w:hint="eastAsia" w:ascii="宋体" w:hAnsi="宋体"/>
          <w:sz w:val="24"/>
        </w:rPr>
        <w:t>（2）</w:t>
      </w:r>
      <w:r>
        <w:rPr>
          <w:rFonts w:ascii="宋体" w:hAnsi="宋体"/>
          <w:sz w:val="24"/>
        </w:rPr>
        <w:t>工作进度及时间安排。</w:t>
      </w:r>
    </w:p>
    <w:bookmarkEnd w:id="33"/>
    <w:bookmarkEnd w:id="34"/>
    <w:bookmarkEnd w:id="36"/>
    <w:p w14:paraId="48F034FC">
      <w:pPr>
        <w:pStyle w:val="3"/>
        <w:keepNext w:val="0"/>
        <w:spacing w:line="560" w:lineRule="exact"/>
        <w:rPr>
          <w:rFonts w:ascii="宋体" w:hAnsi="宋体" w:eastAsia="宋体"/>
        </w:rPr>
      </w:pPr>
      <w:bookmarkStart w:id="37" w:name="_Toc390938597"/>
      <w:bookmarkStart w:id="38" w:name="_Toc112339166"/>
      <w:r>
        <w:rPr>
          <w:rFonts w:hint="eastAsia" w:ascii="宋体" w:hAnsi="宋体" w:eastAsia="宋体"/>
        </w:rPr>
        <w:t>第三章　磋商相关文件格式</w:t>
      </w:r>
      <w:bookmarkEnd w:id="37"/>
      <w:bookmarkEnd w:id="38"/>
      <w:bookmarkStart w:id="39" w:name="_Toc45506740"/>
      <w:bookmarkStart w:id="40" w:name="_Toc47756041"/>
      <w:bookmarkStart w:id="41" w:name="_Toc15813259"/>
      <w:bookmarkStart w:id="42" w:name="_Toc15805942"/>
    </w:p>
    <w:p w14:paraId="245F471E">
      <w:pPr>
        <w:rPr>
          <w:rFonts w:ascii="宋体" w:hAnsi="宋体"/>
        </w:rPr>
      </w:pPr>
    </w:p>
    <w:p w14:paraId="6B0A3FD5">
      <w:pPr>
        <w:rPr>
          <w:rFonts w:ascii="宋体" w:hAnsi="宋体"/>
        </w:rPr>
      </w:pPr>
    </w:p>
    <w:p w14:paraId="50C8A3F5">
      <w:pPr>
        <w:rPr>
          <w:rFonts w:ascii="宋体" w:hAnsi="宋体"/>
        </w:rPr>
      </w:pPr>
    </w:p>
    <w:p w14:paraId="432C26DC">
      <w:pPr>
        <w:rPr>
          <w:rFonts w:ascii="宋体" w:hAnsi="宋体"/>
        </w:rPr>
      </w:pPr>
    </w:p>
    <w:p w14:paraId="47AB7981">
      <w:pPr>
        <w:rPr>
          <w:rFonts w:ascii="宋体" w:hAnsi="宋体"/>
        </w:rPr>
      </w:pPr>
    </w:p>
    <w:p w14:paraId="1F47511B">
      <w:pPr>
        <w:rPr>
          <w:rFonts w:ascii="宋体" w:hAnsi="宋体"/>
        </w:rPr>
      </w:pPr>
    </w:p>
    <w:p w14:paraId="2D233CC7">
      <w:pPr>
        <w:rPr>
          <w:rFonts w:ascii="宋体" w:hAnsi="宋体"/>
        </w:rPr>
      </w:pPr>
    </w:p>
    <w:p w14:paraId="2BA2033A">
      <w:pPr>
        <w:rPr>
          <w:rFonts w:ascii="宋体" w:hAnsi="宋体"/>
        </w:rPr>
      </w:pPr>
    </w:p>
    <w:p w14:paraId="462CB85E">
      <w:pPr>
        <w:rPr>
          <w:rFonts w:ascii="宋体" w:hAnsi="宋体"/>
        </w:rPr>
      </w:pPr>
    </w:p>
    <w:p w14:paraId="5749EFCB">
      <w:pPr>
        <w:rPr>
          <w:rFonts w:ascii="宋体" w:hAnsi="宋体"/>
        </w:rPr>
      </w:pPr>
    </w:p>
    <w:p w14:paraId="23F0A3D6">
      <w:pPr>
        <w:rPr>
          <w:rFonts w:ascii="宋体" w:hAnsi="宋体"/>
        </w:rPr>
      </w:pPr>
    </w:p>
    <w:p w14:paraId="2F56BAEC">
      <w:pPr>
        <w:rPr>
          <w:rFonts w:ascii="宋体" w:hAnsi="宋体"/>
        </w:rPr>
      </w:pPr>
    </w:p>
    <w:p w14:paraId="5C6EBCBC">
      <w:pPr>
        <w:rPr>
          <w:rFonts w:ascii="宋体" w:hAnsi="宋体"/>
        </w:rPr>
      </w:pPr>
    </w:p>
    <w:p w14:paraId="23BCDCF8">
      <w:pPr>
        <w:rPr>
          <w:rFonts w:ascii="宋体" w:hAnsi="宋体"/>
        </w:rPr>
      </w:pPr>
    </w:p>
    <w:p w14:paraId="0C658BF8">
      <w:pPr>
        <w:rPr>
          <w:rFonts w:ascii="宋体" w:hAnsi="宋体"/>
        </w:rPr>
      </w:pPr>
    </w:p>
    <w:p w14:paraId="7C42570B">
      <w:pPr>
        <w:pStyle w:val="4"/>
        <w:tabs>
          <w:tab w:val="left" w:pos="3405"/>
        </w:tabs>
        <w:ind w:firstLine="320" w:firstLineChars="100"/>
        <w:jc w:val="center"/>
        <w:rPr>
          <w:rFonts w:ascii="宋体" w:hAnsi="宋体" w:eastAsia="宋体"/>
          <w:b w:val="0"/>
          <w:sz w:val="32"/>
        </w:rPr>
      </w:pPr>
      <w:bookmarkStart w:id="43" w:name="_Toc493955975"/>
      <w:bookmarkStart w:id="44" w:name="_Toc494558370"/>
      <w:bookmarkStart w:id="45" w:name="_Toc112339167"/>
      <w:r>
        <w:rPr>
          <w:rFonts w:hint="eastAsia" w:ascii="宋体" w:hAnsi="宋体" w:eastAsia="宋体"/>
          <w:b w:val="0"/>
          <w:sz w:val="32"/>
        </w:rPr>
        <w:t xml:space="preserve">一 </w:t>
      </w:r>
      <w:r>
        <w:rPr>
          <w:rFonts w:ascii="宋体" w:hAnsi="宋体" w:eastAsia="宋体"/>
          <w:b w:val="0"/>
          <w:sz w:val="32"/>
        </w:rPr>
        <w:t xml:space="preserve"> </w:t>
      </w:r>
      <w:r>
        <w:rPr>
          <w:rFonts w:hint="eastAsia" w:ascii="宋体" w:hAnsi="宋体" w:eastAsia="宋体"/>
          <w:b w:val="0"/>
          <w:sz w:val="32"/>
        </w:rPr>
        <w:t>资格文件格式</w:t>
      </w:r>
      <w:bookmarkEnd w:id="43"/>
      <w:bookmarkEnd w:id="44"/>
      <w:bookmarkEnd w:id="45"/>
    </w:p>
    <w:p w14:paraId="7D9A697C">
      <w:pPr>
        <w:rPr>
          <w:rFonts w:ascii="宋体" w:hAnsi="宋体"/>
        </w:rPr>
      </w:pPr>
    </w:p>
    <w:p w14:paraId="6D29F429">
      <w:pPr>
        <w:rPr>
          <w:rFonts w:ascii="宋体" w:hAnsi="宋体"/>
        </w:rPr>
      </w:pPr>
    </w:p>
    <w:p w14:paraId="22608F3A">
      <w:pPr>
        <w:rPr>
          <w:rFonts w:ascii="宋体" w:hAnsi="宋体"/>
        </w:rPr>
      </w:pPr>
    </w:p>
    <w:p w14:paraId="5681EE14">
      <w:pPr>
        <w:spacing w:line="360" w:lineRule="auto"/>
        <w:jc w:val="center"/>
        <w:rPr>
          <w:rFonts w:ascii="宋体" w:hAnsi="宋体"/>
          <w:b/>
          <w:sz w:val="30"/>
        </w:rPr>
      </w:pPr>
      <w:r>
        <w:rPr>
          <w:rFonts w:ascii="宋体" w:hAnsi="宋体"/>
          <w:b/>
          <w:sz w:val="32"/>
        </w:rPr>
        <w:br w:type="page"/>
      </w:r>
      <w:bookmarkEnd w:id="39"/>
      <w:bookmarkEnd w:id="40"/>
      <w:bookmarkEnd w:id="41"/>
      <w:bookmarkEnd w:id="42"/>
    </w:p>
    <w:p w14:paraId="48AE2DED">
      <w:pPr>
        <w:spacing w:line="360" w:lineRule="auto"/>
        <w:jc w:val="center"/>
        <w:rPr>
          <w:rFonts w:ascii="宋体" w:hAnsi="宋体"/>
          <w:b/>
          <w:sz w:val="32"/>
        </w:rPr>
      </w:pPr>
      <w:r>
        <w:rPr>
          <w:rFonts w:hint="eastAsia" w:ascii="宋体" w:hAnsi="宋体"/>
          <w:b/>
          <w:sz w:val="36"/>
        </w:rPr>
        <w:t>资格文件封面</w:t>
      </w:r>
    </w:p>
    <w:p w14:paraId="76AA5E0D">
      <w:pPr>
        <w:pStyle w:val="5"/>
        <w:spacing w:line="360" w:lineRule="auto"/>
        <w:ind w:firstLine="900" w:firstLineChars="250"/>
        <w:rPr>
          <w:rFonts w:ascii="宋体" w:hAnsi="宋体"/>
          <w:sz w:val="36"/>
        </w:rPr>
      </w:pPr>
    </w:p>
    <w:p w14:paraId="1B2416C9">
      <w:pPr>
        <w:pStyle w:val="5"/>
        <w:spacing w:line="360" w:lineRule="auto"/>
        <w:ind w:firstLine="0"/>
        <w:rPr>
          <w:rFonts w:ascii="宋体" w:hAnsi="宋体"/>
          <w:sz w:val="36"/>
        </w:rPr>
      </w:pPr>
    </w:p>
    <w:p w14:paraId="1F27B7BE">
      <w:pPr>
        <w:pStyle w:val="5"/>
        <w:spacing w:line="360" w:lineRule="auto"/>
        <w:ind w:firstLine="0"/>
        <w:rPr>
          <w:rFonts w:ascii="宋体" w:hAnsi="宋体"/>
          <w:sz w:val="36"/>
        </w:rPr>
      </w:pPr>
    </w:p>
    <w:p w14:paraId="44EEC1B1">
      <w:pPr>
        <w:pStyle w:val="5"/>
        <w:spacing w:line="360" w:lineRule="auto"/>
        <w:ind w:firstLine="900" w:firstLineChars="250"/>
        <w:rPr>
          <w:rFonts w:ascii="宋体" w:hAnsi="宋体"/>
          <w:sz w:val="36"/>
        </w:rPr>
      </w:pPr>
      <w:r>
        <w:rPr>
          <w:rFonts w:ascii="宋体" w:hAnsi="宋体"/>
          <w:sz w:val="36"/>
        </w:rPr>
        <w:t>项目名称：</w:t>
      </w:r>
    </w:p>
    <w:p w14:paraId="079A2D06">
      <w:pPr>
        <w:pStyle w:val="5"/>
        <w:spacing w:line="360" w:lineRule="auto"/>
        <w:ind w:firstLine="0"/>
        <w:rPr>
          <w:rFonts w:ascii="宋体" w:hAnsi="宋体"/>
          <w:sz w:val="36"/>
        </w:rPr>
      </w:pPr>
    </w:p>
    <w:p w14:paraId="3BD9181D">
      <w:pPr>
        <w:pStyle w:val="5"/>
        <w:spacing w:line="360" w:lineRule="auto"/>
        <w:ind w:firstLine="0"/>
        <w:rPr>
          <w:rFonts w:ascii="宋体" w:hAnsi="宋体"/>
          <w:sz w:val="36"/>
        </w:rPr>
      </w:pPr>
    </w:p>
    <w:p w14:paraId="110D6502">
      <w:pPr>
        <w:pStyle w:val="5"/>
        <w:spacing w:line="360" w:lineRule="auto"/>
        <w:ind w:firstLine="900" w:firstLineChars="250"/>
        <w:rPr>
          <w:rFonts w:ascii="宋体" w:hAnsi="宋体"/>
          <w:sz w:val="36"/>
        </w:rPr>
      </w:pPr>
      <w:r>
        <w:rPr>
          <w:rFonts w:hint="eastAsia" w:ascii="宋体" w:hAnsi="宋体"/>
          <w:sz w:val="36"/>
        </w:rPr>
        <w:t>响应</w:t>
      </w:r>
      <w:r>
        <w:rPr>
          <w:rFonts w:ascii="宋体" w:hAnsi="宋体"/>
          <w:sz w:val="36"/>
        </w:rPr>
        <w:t>文件名称：</w:t>
      </w:r>
      <w:r>
        <w:rPr>
          <w:rFonts w:hint="eastAsia" w:ascii="宋体" w:hAnsi="宋体"/>
          <w:sz w:val="36"/>
        </w:rPr>
        <w:t>资格文件</w:t>
      </w:r>
    </w:p>
    <w:p w14:paraId="02A95295">
      <w:pPr>
        <w:pStyle w:val="5"/>
        <w:spacing w:line="360" w:lineRule="auto"/>
        <w:ind w:firstLine="0"/>
        <w:rPr>
          <w:rFonts w:ascii="宋体" w:hAnsi="宋体"/>
          <w:sz w:val="36"/>
        </w:rPr>
      </w:pPr>
    </w:p>
    <w:p w14:paraId="1A7B2674">
      <w:pPr>
        <w:pStyle w:val="5"/>
        <w:spacing w:line="360" w:lineRule="auto"/>
        <w:ind w:firstLine="0"/>
        <w:rPr>
          <w:rFonts w:ascii="宋体" w:hAnsi="宋体"/>
          <w:sz w:val="36"/>
        </w:rPr>
      </w:pPr>
    </w:p>
    <w:p w14:paraId="4605A556">
      <w:pPr>
        <w:pStyle w:val="5"/>
        <w:spacing w:line="360" w:lineRule="auto"/>
        <w:ind w:firstLine="900" w:firstLineChars="250"/>
        <w:rPr>
          <w:rFonts w:ascii="宋体" w:hAnsi="宋体"/>
          <w:sz w:val="36"/>
        </w:rPr>
      </w:pPr>
      <w:r>
        <w:rPr>
          <w:rFonts w:hint="eastAsia" w:ascii="宋体" w:hAnsi="宋体"/>
          <w:sz w:val="36"/>
        </w:rPr>
        <w:t>供应商</w:t>
      </w:r>
      <w:r>
        <w:rPr>
          <w:rFonts w:ascii="宋体" w:hAnsi="宋体"/>
          <w:sz w:val="36"/>
        </w:rPr>
        <w:t>名称（</w:t>
      </w:r>
      <w:r>
        <w:rPr>
          <w:rFonts w:hint="eastAsia" w:ascii="宋体" w:hAnsi="宋体"/>
          <w:sz w:val="36"/>
        </w:rPr>
        <w:t>盖章</w:t>
      </w:r>
      <w:r>
        <w:rPr>
          <w:rFonts w:ascii="宋体" w:hAnsi="宋体"/>
          <w:sz w:val="36"/>
        </w:rPr>
        <w:t>）：</w:t>
      </w:r>
    </w:p>
    <w:p w14:paraId="36307D7E">
      <w:pPr>
        <w:pStyle w:val="5"/>
        <w:spacing w:line="360" w:lineRule="auto"/>
        <w:ind w:firstLine="900" w:firstLineChars="250"/>
        <w:rPr>
          <w:rFonts w:ascii="宋体" w:hAnsi="宋体"/>
          <w:sz w:val="36"/>
        </w:rPr>
      </w:pPr>
    </w:p>
    <w:p w14:paraId="554D6187">
      <w:pPr>
        <w:pStyle w:val="5"/>
        <w:spacing w:line="360" w:lineRule="auto"/>
        <w:ind w:firstLine="900" w:firstLineChars="250"/>
        <w:rPr>
          <w:rFonts w:ascii="宋体" w:hAnsi="宋体"/>
          <w:sz w:val="36"/>
        </w:rPr>
      </w:pPr>
    </w:p>
    <w:p w14:paraId="4046F02A">
      <w:pPr>
        <w:pStyle w:val="5"/>
        <w:spacing w:line="360" w:lineRule="auto"/>
        <w:ind w:firstLine="900" w:firstLineChars="250"/>
        <w:rPr>
          <w:rFonts w:ascii="宋体" w:hAnsi="宋体"/>
          <w:sz w:val="36"/>
        </w:rPr>
      </w:pPr>
      <w:r>
        <w:rPr>
          <w:rFonts w:hint="eastAsia" w:ascii="宋体" w:hAnsi="宋体"/>
          <w:sz w:val="36"/>
        </w:rPr>
        <w:t>供应商</w:t>
      </w:r>
      <w:r>
        <w:rPr>
          <w:rFonts w:ascii="宋体" w:hAnsi="宋体"/>
          <w:sz w:val="36"/>
        </w:rPr>
        <w:t>地址：</w:t>
      </w:r>
    </w:p>
    <w:p w14:paraId="72852A27">
      <w:pPr>
        <w:pStyle w:val="15"/>
        <w:spacing w:line="360" w:lineRule="auto"/>
        <w:jc w:val="center"/>
        <w:rPr>
          <w:rFonts w:hAnsi="宋体"/>
          <w:b/>
          <w:sz w:val="32"/>
        </w:rPr>
      </w:pPr>
    </w:p>
    <w:p w14:paraId="771638C6">
      <w:pPr>
        <w:pStyle w:val="15"/>
        <w:spacing w:line="360" w:lineRule="auto"/>
        <w:jc w:val="center"/>
        <w:rPr>
          <w:rFonts w:hAnsi="宋体"/>
          <w:b/>
          <w:sz w:val="32"/>
        </w:rPr>
      </w:pPr>
    </w:p>
    <w:p w14:paraId="07759CE8">
      <w:pPr>
        <w:pStyle w:val="15"/>
        <w:spacing w:line="360" w:lineRule="auto"/>
        <w:jc w:val="center"/>
        <w:rPr>
          <w:rFonts w:hAnsi="宋体"/>
          <w:b/>
          <w:sz w:val="32"/>
        </w:rPr>
      </w:pPr>
    </w:p>
    <w:p w14:paraId="656AEEFD">
      <w:pPr>
        <w:pStyle w:val="15"/>
        <w:spacing w:line="360" w:lineRule="auto"/>
        <w:jc w:val="center"/>
        <w:rPr>
          <w:rFonts w:hAnsi="宋体"/>
          <w:b/>
          <w:sz w:val="32"/>
        </w:rPr>
      </w:pPr>
    </w:p>
    <w:p w14:paraId="0A15A10C">
      <w:pPr>
        <w:pStyle w:val="15"/>
        <w:spacing w:line="360" w:lineRule="auto"/>
        <w:jc w:val="center"/>
        <w:rPr>
          <w:rFonts w:hAnsi="宋体"/>
          <w:b/>
          <w:sz w:val="32"/>
        </w:rPr>
      </w:pPr>
    </w:p>
    <w:p w14:paraId="62D4CE80">
      <w:pPr>
        <w:pStyle w:val="15"/>
        <w:spacing w:line="360" w:lineRule="auto"/>
        <w:jc w:val="center"/>
        <w:rPr>
          <w:rFonts w:hAnsi="宋体"/>
          <w:b/>
          <w:sz w:val="32"/>
        </w:rPr>
      </w:pPr>
    </w:p>
    <w:p w14:paraId="4C271003">
      <w:pPr>
        <w:pStyle w:val="15"/>
        <w:spacing w:line="360" w:lineRule="auto"/>
        <w:jc w:val="center"/>
        <w:rPr>
          <w:rFonts w:hAnsi="宋体"/>
          <w:b/>
          <w:sz w:val="32"/>
        </w:rPr>
      </w:pPr>
    </w:p>
    <w:p w14:paraId="5BD560CA">
      <w:pPr>
        <w:pStyle w:val="15"/>
        <w:spacing w:line="360" w:lineRule="auto"/>
        <w:jc w:val="center"/>
        <w:rPr>
          <w:rFonts w:hAnsi="宋体"/>
          <w:b/>
          <w:sz w:val="32"/>
        </w:rPr>
      </w:pPr>
      <w:r>
        <w:rPr>
          <w:rFonts w:hint="eastAsia" w:hAnsi="宋体"/>
          <w:b/>
          <w:sz w:val="32"/>
        </w:rPr>
        <w:t>1.公司有效营业执照</w:t>
      </w:r>
    </w:p>
    <w:p w14:paraId="16630C64">
      <w:pPr>
        <w:spacing w:line="360" w:lineRule="auto"/>
        <w:ind w:firstLine="480" w:firstLineChars="200"/>
        <w:rPr>
          <w:rFonts w:ascii="宋体" w:hAnsi="宋体"/>
          <w:sz w:val="24"/>
        </w:rPr>
      </w:pPr>
    </w:p>
    <w:p w14:paraId="0D5C3347">
      <w:pPr>
        <w:spacing w:line="360" w:lineRule="auto"/>
        <w:ind w:firstLine="480" w:firstLineChars="200"/>
        <w:rPr>
          <w:rFonts w:ascii="宋体" w:hAnsi="宋体"/>
          <w:b/>
          <w:sz w:val="24"/>
        </w:rPr>
      </w:pPr>
      <w:r>
        <w:rPr>
          <w:rFonts w:hint="eastAsia" w:ascii="宋体" w:hAnsi="宋体"/>
          <w:sz w:val="24"/>
        </w:rPr>
        <w:t>要求：提供</w:t>
      </w:r>
      <w:r>
        <w:rPr>
          <w:rFonts w:ascii="宋体" w:hAnsi="宋体"/>
          <w:sz w:val="24"/>
        </w:rPr>
        <w:t>有效的营业执照</w:t>
      </w:r>
      <w:r>
        <w:rPr>
          <w:rFonts w:hint="eastAsia" w:ascii="宋体" w:hAnsi="宋体"/>
          <w:sz w:val="24"/>
        </w:rPr>
        <w:t>扫描件，图像清晰。</w:t>
      </w:r>
    </w:p>
    <w:p w14:paraId="21358F7C">
      <w:pPr>
        <w:spacing w:line="360" w:lineRule="auto"/>
        <w:ind w:firstLine="643" w:firstLineChars="200"/>
        <w:rPr>
          <w:rFonts w:hAnsi="宋体"/>
          <w:b/>
          <w:sz w:val="32"/>
        </w:rPr>
      </w:pPr>
    </w:p>
    <w:p w14:paraId="60A4975A">
      <w:pPr>
        <w:pStyle w:val="15"/>
        <w:spacing w:line="360" w:lineRule="auto"/>
        <w:ind w:firstLine="948" w:firstLineChars="295"/>
        <w:rPr>
          <w:rFonts w:hAnsi="宋体"/>
          <w:b/>
          <w:sz w:val="32"/>
        </w:rPr>
      </w:pPr>
    </w:p>
    <w:p w14:paraId="5C6F13B7">
      <w:pPr>
        <w:spacing w:line="360" w:lineRule="auto"/>
        <w:jc w:val="center"/>
        <w:rPr>
          <w:rFonts w:hAnsi="宋体"/>
          <w:b/>
          <w:sz w:val="32"/>
        </w:rPr>
      </w:pPr>
      <w:r>
        <w:rPr>
          <w:rFonts w:ascii="宋体" w:hAnsi="宋体"/>
          <w:b/>
          <w:sz w:val="32"/>
        </w:rPr>
        <w:br w:type="page"/>
      </w:r>
      <w:r>
        <w:rPr>
          <w:rFonts w:hint="eastAsia" w:ascii="宋体" w:hAnsi="宋体"/>
          <w:b/>
          <w:sz w:val="32"/>
          <w:szCs w:val="20"/>
        </w:rPr>
        <w:t>2.</w:t>
      </w:r>
      <w:bookmarkStart w:id="46" w:name="_Toc493955980"/>
      <w:r>
        <w:rPr>
          <w:rFonts w:hint="eastAsia" w:hAnsi="宋体"/>
          <w:b/>
          <w:sz w:val="32"/>
        </w:rPr>
        <w:t>磋商代表委派书</w:t>
      </w:r>
    </w:p>
    <w:p w14:paraId="399D933C">
      <w:pPr>
        <w:pStyle w:val="83"/>
        <w:spacing w:line="440" w:lineRule="exact"/>
        <w:rPr>
          <w:rFonts w:ascii="宋体" w:hAnsi="宋体"/>
          <w:b/>
          <w:sz w:val="24"/>
          <w:szCs w:val="21"/>
        </w:rPr>
      </w:pPr>
      <w:r>
        <w:rPr>
          <w:rFonts w:hint="eastAsia" w:ascii="宋体" w:hAnsi="宋体"/>
          <w:sz w:val="24"/>
          <w:szCs w:val="21"/>
          <w:u w:val="single"/>
        </w:rPr>
        <w:t>丽水学院</w:t>
      </w:r>
      <w:r>
        <w:rPr>
          <w:rFonts w:hint="eastAsia" w:ascii="宋体" w:hAnsi="宋体"/>
          <w:sz w:val="24"/>
          <w:szCs w:val="21"/>
        </w:rPr>
        <w:t>：</w:t>
      </w:r>
    </w:p>
    <w:p w14:paraId="2C3AE43F">
      <w:pPr>
        <w:pStyle w:val="83"/>
        <w:autoSpaceDE w:val="0"/>
        <w:autoSpaceDN w:val="0"/>
        <w:spacing w:line="440" w:lineRule="exact"/>
        <w:textAlignment w:val="bottom"/>
        <w:rPr>
          <w:rFonts w:ascii="宋体" w:hAnsi="宋体"/>
          <w:sz w:val="24"/>
          <w:szCs w:val="20"/>
        </w:rPr>
      </w:pPr>
      <w:r>
        <w:rPr>
          <w:rFonts w:hint="eastAsia" w:ascii="宋体" w:hAnsi="宋体"/>
        </w:rPr>
        <w:t xml:space="preserve">   </w:t>
      </w:r>
      <w:r>
        <w:rPr>
          <w:rFonts w:hint="eastAsia" w:ascii="宋体" w:hAnsi="宋体"/>
          <w:sz w:val="24"/>
          <w:szCs w:val="20"/>
        </w:rPr>
        <w:t xml:space="preserve"> 本单位</w:t>
      </w:r>
      <w:r>
        <w:rPr>
          <w:rFonts w:hint="eastAsia" w:ascii="宋体" w:hAnsi="宋体"/>
          <w:sz w:val="24"/>
          <w:szCs w:val="20"/>
          <w:u w:val="single"/>
        </w:rPr>
        <w:t xml:space="preserve">      （供应商）  </w:t>
      </w:r>
      <w:r>
        <w:rPr>
          <w:rFonts w:hint="eastAsia" w:ascii="宋体" w:hAnsi="宋体"/>
          <w:sz w:val="24"/>
          <w:szCs w:val="20"/>
        </w:rPr>
        <w:t>现委派在职工作人员</w:t>
      </w:r>
      <w:r>
        <w:rPr>
          <w:rFonts w:hint="eastAsia" w:ascii="宋体" w:hAnsi="宋体"/>
          <w:sz w:val="24"/>
          <w:szCs w:val="20"/>
          <w:u w:val="single"/>
        </w:rPr>
        <w:t xml:space="preserve">    （姓名及联系电话）</w:t>
      </w:r>
      <w:r>
        <w:rPr>
          <w:rFonts w:hint="eastAsia" w:ascii="宋体" w:hAnsi="宋体"/>
          <w:sz w:val="24"/>
          <w:szCs w:val="20"/>
        </w:rPr>
        <w:t xml:space="preserve"> 以我方名义参加贵公司组织的</w:t>
      </w:r>
      <w:r>
        <w:rPr>
          <w:rFonts w:hint="eastAsia" w:ascii="宋体" w:hAnsi="宋体"/>
          <w:sz w:val="24"/>
          <w:szCs w:val="20"/>
          <w:u w:val="single"/>
        </w:rPr>
        <w:t xml:space="preserve">                           （采购项目名称）  </w:t>
      </w:r>
      <w:r>
        <w:rPr>
          <w:rFonts w:hint="eastAsia" w:ascii="宋体" w:hAnsi="宋体"/>
          <w:sz w:val="24"/>
          <w:szCs w:val="20"/>
        </w:rPr>
        <w:t>（采购编号：</w:t>
      </w:r>
      <w:r>
        <w:rPr>
          <w:rFonts w:hint="eastAsia" w:ascii="宋体" w:hAnsi="宋体"/>
          <w:sz w:val="24"/>
          <w:szCs w:val="20"/>
          <w:u w:val="single"/>
        </w:rPr>
        <w:t>　　　　</w:t>
      </w:r>
      <w:r>
        <w:rPr>
          <w:rFonts w:hint="eastAsia" w:ascii="宋体" w:hAnsi="宋体"/>
          <w:sz w:val="24"/>
          <w:szCs w:val="20"/>
        </w:rPr>
        <w:t>）项目的磋商活动，并代表我单位全权办理针对上述项目的磋商、开标、评审、签约等具体事务和签署相关文件，且对签字或盖章事项负全部责任。</w:t>
      </w:r>
    </w:p>
    <w:p w14:paraId="3DEA4790">
      <w:pPr>
        <w:pStyle w:val="83"/>
        <w:spacing w:line="440" w:lineRule="exact"/>
        <w:ind w:firstLine="480"/>
        <w:rPr>
          <w:rFonts w:ascii="宋体" w:hAnsi="宋体"/>
          <w:sz w:val="24"/>
          <w:szCs w:val="21"/>
        </w:rPr>
      </w:pPr>
      <w:r>
        <w:rPr>
          <w:rFonts w:hint="eastAsia" w:ascii="宋体" w:hAnsi="宋体"/>
          <w:sz w:val="24"/>
          <w:szCs w:val="21"/>
        </w:rPr>
        <w:t>本委派书自盖章之日起生效，在撤销委派的书面通知送达贵方以前，本委派书一直有效。磋商代表在委派书有效期内签署的所有文件不因委派的撤销而失效。</w:t>
      </w:r>
    </w:p>
    <w:p w14:paraId="2E9F3CE3">
      <w:pPr>
        <w:pStyle w:val="83"/>
        <w:spacing w:line="440" w:lineRule="exact"/>
        <w:ind w:firstLine="480"/>
        <w:rPr>
          <w:rFonts w:ascii="宋体" w:hAnsi="宋体"/>
          <w:sz w:val="24"/>
          <w:szCs w:val="21"/>
        </w:rPr>
      </w:pPr>
      <w:r>
        <w:rPr>
          <w:rFonts w:hint="eastAsia" w:ascii="宋体" w:hAnsi="宋体"/>
          <w:sz w:val="24"/>
          <w:szCs w:val="21"/>
        </w:rPr>
        <w:t>磋商代表无转委派权，特此声明。</w:t>
      </w:r>
    </w:p>
    <w:p w14:paraId="1CECF1E7">
      <w:pPr>
        <w:pStyle w:val="83"/>
        <w:spacing w:line="440" w:lineRule="exact"/>
        <w:ind w:firstLine="3298" w:firstLineChars="1174"/>
        <w:rPr>
          <w:rFonts w:ascii="宋体" w:hAnsi="宋体"/>
          <w:b/>
          <w:spacing w:val="20"/>
          <w:sz w:val="24"/>
          <w:szCs w:val="21"/>
        </w:rPr>
      </w:pPr>
    </w:p>
    <w:p w14:paraId="46D8E84E">
      <w:pPr>
        <w:pStyle w:val="83"/>
        <w:spacing w:line="440" w:lineRule="exact"/>
        <w:ind w:firstLine="3298" w:firstLineChars="1174"/>
        <w:rPr>
          <w:rFonts w:ascii="宋体" w:hAnsi="宋体"/>
          <w:spacing w:val="20"/>
          <w:sz w:val="24"/>
          <w:szCs w:val="21"/>
          <w:u w:val="single"/>
        </w:rPr>
      </w:pPr>
      <w:r>
        <w:rPr>
          <w:rFonts w:hint="eastAsia" w:ascii="宋体" w:hAnsi="宋体"/>
          <w:b/>
          <w:spacing w:val="20"/>
          <w:sz w:val="24"/>
          <w:szCs w:val="21"/>
        </w:rPr>
        <w:t>供应商</w:t>
      </w:r>
      <w:r>
        <w:rPr>
          <w:rFonts w:ascii="宋体" w:hAnsi="宋体"/>
          <w:b/>
          <w:spacing w:val="20"/>
          <w:sz w:val="24"/>
          <w:szCs w:val="21"/>
        </w:rPr>
        <w:t>盖章</w:t>
      </w:r>
      <w:r>
        <w:rPr>
          <w:rFonts w:ascii="宋体" w:hAnsi="宋体"/>
          <w:spacing w:val="20"/>
          <w:sz w:val="24"/>
          <w:szCs w:val="21"/>
        </w:rPr>
        <w:t>：</w:t>
      </w:r>
      <w:r>
        <w:rPr>
          <w:rFonts w:ascii="宋体" w:hAnsi="宋体"/>
          <w:spacing w:val="20"/>
          <w:sz w:val="24"/>
          <w:szCs w:val="21"/>
          <w:u w:val="single"/>
        </w:rPr>
        <w:t xml:space="preserve">           </w:t>
      </w:r>
    </w:p>
    <w:p w14:paraId="50A1E395">
      <w:pPr>
        <w:pStyle w:val="83"/>
        <w:spacing w:line="440" w:lineRule="exact"/>
        <w:ind w:firstLine="4900" w:firstLineChars="1750"/>
        <w:rPr>
          <w:rFonts w:ascii="宋体" w:hAnsi="宋体"/>
          <w:spacing w:val="20"/>
          <w:sz w:val="24"/>
          <w:szCs w:val="21"/>
          <w:u w:val="single"/>
        </w:rPr>
      </w:pPr>
      <w:r>
        <w:rPr>
          <w:rFonts w:ascii="宋体" w:hAnsi="宋体"/>
          <w:spacing w:val="20"/>
          <w:sz w:val="24"/>
          <w:szCs w:val="21"/>
        </w:rPr>
        <w:t>日     期：</w:t>
      </w:r>
      <w:r>
        <w:rPr>
          <w:rFonts w:ascii="宋体" w:hAnsi="宋体"/>
          <w:spacing w:val="20"/>
          <w:sz w:val="24"/>
          <w:szCs w:val="21"/>
          <w:u w:val="single"/>
        </w:rPr>
        <w:t xml:space="preserve">           </w:t>
      </w:r>
    </w:p>
    <w:p w14:paraId="3A958B64">
      <w:pPr>
        <w:pStyle w:val="83"/>
        <w:spacing w:line="440" w:lineRule="exact"/>
        <w:rPr>
          <w:rFonts w:ascii="宋体" w:hAnsi="宋体"/>
          <w:sz w:val="24"/>
          <w:szCs w:val="21"/>
        </w:rPr>
      </w:pPr>
      <w:r>
        <w:rPr>
          <w:rFonts w:ascii="宋体" w:hAnsi="宋体"/>
          <w:sz w:val="24"/>
          <w:szCs w:val="21"/>
        </w:rPr>
        <w:t>___________________________________________________________________</w:t>
      </w:r>
      <w:r>
        <w:rPr>
          <w:rFonts w:hint="eastAsia" w:ascii="宋体" w:hAnsi="宋体"/>
          <w:sz w:val="24"/>
          <w:szCs w:val="21"/>
          <w:u w:val="single"/>
        </w:rPr>
        <w:t xml:space="preserve">  </w:t>
      </w:r>
    </w:p>
    <w:p w14:paraId="7C199304">
      <w:pPr>
        <w:pStyle w:val="83"/>
        <w:spacing w:line="440" w:lineRule="exact"/>
        <w:ind w:firstLine="480"/>
        <w:rPr>
          <w:rFonts w:ascii="宋体" w:hAnsi="宋体"/>
          <w:sz w:val="24"/>
          <w:szCs w:val="21"/>
        </w:rPr>
      </w:pPr>
      <w:r>
        <w:rPr>
          <w:rFonts w:hint="eastAsia" w:ascii="宋体" w:hAnsi="宋体"/>
          <w:sz w:val="24"/>
          <w:szCs w:val="21"/>
        </w:rPr>
        <w:t>附：1、磋商代表工作单位：</w:t>
      </w:r>
      <w:r>
        <w:rPr>
          <w:rFonts w:hint="eastAsia" w:ascii="宋体" w:hAnsi="宋体"/>
          <w:sz w:val="24"/>
          <w:szCs w:val="21"/>
        </w:rPr>
        <w:tab/>
      </w:r>
      <w:r>
        <w:rPr>
          <w:rFonts w:hint="eastAsia" w:ascii="宋体" w:hAnsi="宋体"/>
          <w:sz w:val="24"/>
          <w:szCs w:val="21"/>
        </w:rPr>
        <w:tab/>
      </w:r>
      <w:r>
        <w:rPr>
          <w:rFonts w:hint="eastAsia" w:ascii="宋体" w:hAnsi="宋体"/>
          <w:sz w:val="24"/>
          <w:szCs w:val="21"/>
        </w:rPr>
        <w:tab/>
      </w:r>
      <w:r>
        <w:rPr>
          <w:rFonts w:hint="eastAsia" w:ascii="宋体" w:hAnsi="宋体"/>
          <w:sz w:val="24"/>
          <w:szCs w:val="21"/>
        </w:rPr>
        <w:tab/>
      </w:r>
      <w:r>
        <w:rPr>
          <w:rFonts w:hint="eastAsia" w:ascii="宋体" w:hAnsi="宋体"/>
          <w:sz w:val="24"/>
          <w:szCs w:val="21"/>
        </w:rPr>
        <w:tab/>
      </w:r>
      <w:r>
        <w:rPr>
          <w:rFonts w:hint="eastAsia" w:ascii="宋体" w:hAnsi="宋体"/>
          <w:sz w:val="24"/>
          <w:szCs w:val="21"/>
        </w:rPr>
        <w:t>职务：</w:t>
      </w:r>
    </w:p>
    <w:p w14:paraId="1D839F29">
      <w:pPr>
        <w:pStyle w:val="83"/>
        <w:spacing w:line="440" w:lineRule="exact"/>
        <w:ind w:firstLine="480"/>
        <w:rPr>
          <w:rFonts w:ascii="宋体" w:hAnsi="宋体"/>
          <w:sz w:val="24"/>
          <w:szCs w:val="21"/>
        </w:rPr>
      </w:pPr>
      <w:r>
        <w:rPr>
          <w:rFonts w:hint="eastAsia" w:ascii="宋体" w:hAnsi="宋体"/>
          <w:sz w:val="24"/>
          <w:szCs w:val="21"/>
        </w:rPr>
        <w:t xml:space="preserve">       身份证号码：　　　　　　　　　　</w:t>
      </w:r>
      <w:r>
        <w:rPr>
          <w:rFonts w:hint="eastAsia" w:ascii="宋体" w:hAnsi="宋体"/>
          <w:sz w:val="24"/>
          <w:szCs w:val="21"/>
        </w:rPr>
        <w:tab/>
      </w:r>
      <w:r>
        <w:rPr>
          <w:rFonts w:hint="eastAsia" w:ascii="宋体" w:hAnsi="宋体"/>
          <w:sz w:val="24"/>
          <w:szCs w:val="21"/>
        </w:rPr>
        <w:t>性别：</w:t>
      </w:r>
    </w:p>
    <w:p w14:paraId="2730E6DF">
      <w:pPr>
        <w:pStyle w:val="83"/>
        <w:spacing w:line="440" w:lineRule="exact"/>
        <w:rPr>
          <w:rFonts w:ascii="宋体" w:hAnsi="宋体"/>
          <w:sz w:val="24"/>
          <w:szCs w:val="21"/>
        </w:rPr>
      </w:pPr>
    </w:p>
    <w:p w14:paraId="18BE11E6">
      <w:pPr>
        <w:pStyle w:val="83"/>
        <w:spacing w:line="360" w:lineRule="auto"/>
        <w:ind w:firstLine="420"/>
        <w:rPr>
          <w:rFonts w:ascii="宋体" w:hAnsi="宋体"/>
          <w:sz w:val="24"/>
          <w:szCs w:val="21"/>
        </w:rPr>
      </w:pPr>
      <w:r>
        <w:rPr>
          <w:rFonts w:hint="eastAsia" w:ascii="宋体" w:hAnsi="宋体"/>
          <w:b/>
          <w:sz w:val="24"/>
          <w:szCs w:val="21"/>
        </w:rPr>
        <w:t>注：</w:t>
      </w:r>
      <w:r>
        <w:rPr>
          <w:rFonts w:hint="eastAsia" w:ascii="宋体" w:hAnsi="宋体"/>
          <w:sz w:val="24"/>
          <w:szCs w:val="21"/>
        </w:rPr>
        <w:t xml:space="preserve"> </w:t>
      </w:r>
      <w:r>
        <w:rPr>
          <w:rFonts w:hint="eastAsia" w:ascii="宋体" w:hAnsi="宋体"/>
          <w:b/>
          <w:sz w:val="24"/>
          <w:szCs w:val="21"/>
        </w:rPr>
        <w:t>本“委派书”需附磋商代表身份证扫描件，如扫描件不清晰或错误的，后果由供应商自行承担。</w:t>
      </w:r>
    </w:p>
    <w:p w14:paraId="78F65A91">
      <w:pPr>
        <w:pStyle w:val="82"/>
        <w:spacing w:line="440" w:lineRule="exact"/>
        <w:rPr>
          <w:rFonts w:hAnsi="宋体"/>
          <w:bCs/>
          <w:sz w:val="24"/>
        </w:rPr>
      </w:pPr>
      <w:r>
        <w:rPr>
          <w:rFonts w:hint="eastAsia" w:hAnsi="宋体"/>
          <w:bCs/>
          <w:sz w:val="24"/>
        </w:rPr>
        <w:t>磋商代表身份证扫描件：</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7"/>
      </w:tblGrid>
      <w:tr w14:paraId="55A3C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5" w:hRule="atLeast"/>
          <w:jc w:val="center"/>
        </w:trPr>
        <w:tc>
          <w:tcPr>
            <w:tcW w:w="9267" w:type="dxa"/>
          </w:tcPr>
          <w:p w14:paraId="2CB31144">
            <w:pPr>
              <w:pStyle w:val="82"/>
              <w:spacing w:line="440" w:lineRule="exact"/>
              <w:rPr>
                <w:rFonts w:hAnsi="宋体"/>
                <w:bCs/>
                <w:sz w:val="24"/>
              </w:rPr>
            </w:pPr>
            <w:r>
              <w:rPr>
                <w:rFonts w:hint="eastAsia" w:hAnsi="宋体"/>
                <w:bCs/>
                <w:sz w:val="24"/>
              </w:rPr>
              <w:t>正面</w:t>
            </w:r>
            <w:r>
              <w:rPr>
                <w:rFonts w:hAnsi="宋体"/>
                <w:bCs/>
                <w:sz w:val="24"/>
              </w:rPr>
              <w:t>：</w:t>
            </w:r>
            <w:r>
              <w:rPr>
                <w:rFonts w:hint="eastAsia" w:hAnsi="宋体"/>
                <w:bCs/>
                <w:sz w:val="24"/>
              </w:rPr>
              <w:t xml:space="preserve">                                 反面</w:t>
            </w:r>
            <w:r>
              <w:rPr>
                <w:rFonts w:hAnsi="宋体"/>
                <w:bCs/>
                <w:sz w:val="24"/>
              </w:rPr>
              <w:t>：</w:t>
            </w:r>
          </w:p>
        </w:tc>
      </w:tr>
    </w:tbl>
    <w:p w14:paraId="6376F37A">
      <w:pPr>
        <w:pStyle w:val="15"/>
        <w:spacing w:line="360" w:lineRule="auto"/>
        <w:jc w:val="center"/>
        <w:rPr>
          <w:rFonts w:hAnsi="宋体"/>
          <w:b/>
          <w:sz w:val="32"/>
        </w:rPr>
      </w:pPr>
      <w:r>
        <w:rPr>
          <w:rFonts w:hAnsi="宋体"/>
          <w:b/>
          <w:sz w:val="32"/>
        </w:rPr>
        <w:br w:type="page"/>
      </w:r>
    </w:p>
    <w:p w14:paraId="446272D3">
      <w:pPr>
        <w:pStyle w:val="15"/>
        <w:spacing w:line="360" w:lineRule="auto"/>
        <w:jc w:val="center"/>
        <w:rPr>
          <w:rFonts w:hAnsi="宋体"/>
          <w:b/>
          <w:sz w:val="32"/>
        </w:rPr>
      </w:pPr>
      <w:r>
        <w:rPr>
          <w:rFonts w:hAnsi="宋体"/>
          <w:b/>
          <w:sz w:val="32"/>
        </w:rPr>
        <w:t>3</w:t>
      </w:r>
      <w:r>
        <w:rPr>
          <w:rFonts w:hint="eastAsia" w:hAnsi="宋体"/>
          <w:b/>
          <w:sz w:val="32"/>
        </w:rPr>
        <w:t>.资格证明</w:t>
      </w:r>
    </w:p>
    <w:p w14:paraId="624179CD">
      <w:pPr>
        <w:pStyle w:val="15"/>
        <w:spacing w:line="360" w:lineRule="auto"/>
        <w:jc w:val="center"/>
        <w:rPr>
          <w:rFonts w:hAnsi="宋体"/>
          <w:b/>
          <w:sz w:val="32"/>
        </w:rPr>
      </w:pPr>
    </w:p>
    <w:p w14:paraId="13AD4CC1">
      <w:pPr>
        <w:pStyle w:val="76"/>
        <w:tabs>
          <w:tab w:val="left" w:pos="0"/>
        </w:tabs>
        <w:spacing w:line="276" w:lineRule="auto"/>
        <w:rPr>
          <w:rFonts w:hAnsi="宋体"/>
          <w:sz w:val="24"/>
          <w:szCs w:val="21"/>
        </w:rPr>
      </w:pPr>
      <w:r>
        <w:rPr>
          <w:rFonts w:hint="eastAsia" w:hAnsi="宋体"/>
          <w:sz w:val="24"/>
          <w:szCs w:val="21"/>
          <w:u w:val="single"/>
        </w:rPr>
        <w:t>丽水学院</w:t>
      </w:r>
      <w:r>
        <w:rPr>
          <w:rFonts w:hint="eastAsia" w:hAnsi="宋体"/>
          <w:sz w:val="24"/>
          <w:szCs w:val="21"/>
        </w:rPr>
        <w:t>：</w:t>
      </w:r>
    </w:p>
    <w:p w14:paraId="75E2B555">
      <w:pPr>
        <w:pStyle w:val="76"/>
        <w:spacing w:line="360" w:lineRule="auto"/>
        <w:ind w:firstLine="480" w:firstLineChars="200"/>
        <w:rPr>
          <w:rFonts w:hAnsi="宋体"/>
          <w:sz w:val="24"/>
          <w:szCs w:val="21"/>
        </w:rPr>
      </w:pPr>
      <w:r>
        <w:rPr>
          <w:rFonts w:hAnsi="宋体"/>
          <w:sz w:val="24"/>
          <w:szCs w:val="21"/>
          <w:u w:val="single"/>
        </w:rPr>
        <w:t xml:space="preserve">   </w:t>
      </w:r>
      <w:r>
        <w:rPr>
          <w:rFonts w:hint="eastAsia" w:hAnsi="宋体"/>
          <w:sz w:val="24"/>
          <w:szCs w:val="21"/>
          <w:u w:val="single"/>
        </w:rPr>
        <w:t xml:space="preserve"> (供应商全称)  </w:t>
      </w:r>
      <w:r>
        <w:rPr>
          <w:rFonts w:hint="eastAsia" w:hAnsi="宋体"/>
          <w:sz w:val="24"/>
          <w:szCs w:val="21"/>
        </w:rPr>
        <w:t>系中华人民共和国合法企业，经营地址</w:t>
      </w:r>
      <w:r>
        <w:rPr>
          <w:rFonts w:hAnsi="宋体"/>
          <w:sz w:val="24"/>
          <w:szCs w:val="21"/>
          <w:u w:val="single"/>
        </w:rPr>
        <w:t xml:space="preserve">    </w:t>
      </w:r>
      <w:r>
        <w:rPr>
          <w:rFonts w:hint="eastAsia" w:hAnsi="宋体"/>
          <w:sz w:val="24"/>
          <w:szCs w:val="21"/>
          <w:u w:val="single"/>
        </w:rPr>
        <w:t xml:space="preserve">       </w:t>
      </w:r>
      <w:r>
        <w:rPr>
          <w:rFonts w:hAnsi="宋体"/>
          <w:sz w:val="24"/>
          <w:szCs w:val="21"/>
          <w:u w:val="single"/>
        </w:rPr>
        <w:t xml:space="preserve">     </w:t>
      </w:r>
      <w:r>
        <w:rPr>
          <w:rFonts w:hint="eastAsia" w:hAnsi="宋体"/>
          <w:sz w:val="24"/>
          <w:szCs w:val="21"/>
        </w:rPr>
        <w:t>。</w:t>
      </w:r>
    </w:p>
    <w:p w14:paraId="6A70CF72">
      <w:pPr>
        <w:pStyle w:val="5"/>
        <w:spacing w:line="360" w:lineRule="auto"/>
        <w:rPr>
          <w:rFonts w:ascii="宋体" w:hAnsi="宋体"/>
          <w:sz w:val="24"/>
          <w:szCs w:val="24"/>
        </w:rPr>
      </w:pPr>
      <w:r>
        <w:rPr>
          <w:rFonts w:hint="eastAsia" w:ascii="宋体" w:hAnsi="宋体"/>
          <w:sz w:val="24"/>
          <w:szCs w:val="21"/>
        </w:rPr>
        <w:t>我</w:t>
      </w:r>
      <w:r>
        <w:rPr>
          <w:rFonts w:ascii="宋体" w:hAnsi="宋体"/>
          <w:sz w:val="24"/>
          <w:szCs w:val="21"/>
          <w:u w:val="single"/>
        </w:rPr>
        <w:t>(</w:t>
      </w:r>
      <w:r>
        <w:rPr>
          <w:rFonts w:hint="eastAsia" w:ascii="宋体" w:hAnsi="宋体"/>
          <w:sz w:val="24"/>
          <w:szCs w:val="21"/>
          <w:u w:val="single"/>
        </w:rPr>
        <w:t>负责人名字</w:t>
      </w:r>
      <w:r>
        <w:rPr>
          <w:rFonts w:ascii="宋体" w:hAnsi="宋体"/>
          <w:sz w:val="24"/>
          <w:szCs w:val="21"/>
          <w:u w:val="single"/>
        </w:rPr>
        <w:t>)</w:t>
      </w:r>
      <w:r>
        <w:rPr>
          <w:rFonts w:hint="eastAsia" w:ascii="宋体" w:hAnsi="宋体"/>
          <w:sz w:val="24"/>
          <w:szCs w:val="21"/>
        </w:rPr>
        <w:t>系</w:t>
      </w:r>
      <w:r>
        <w:rPr>
          <w:rFonts w:hint="eastAsia" w:ascii="宋体" w:hAnsi="宋体"/>
          <w:sz w:val="24"/>
          <w:szCs w:val="21"/>
          <w:u w:val="single"/>
        </w:rPr>
        <w:t xml:space="preserve">    </w:t>
      </w:r>
      <w:r>
        <w:rPr>
          <w:rFonts w:ascii="宋体" w:hAnsi="宋体"/>
          <w:sz w:val="24"/>
          <w:szCs w:val="21"/>
          <w:u w:val="single"/>
        </w:rPr>
        <w:t>(</w:t>
      </w:r>
      <w:r>
        <w:rPr>
          <w:rFonts w:hint="eastAsia" w:ascii="宋体" w:hAnsi="宋体"/>
          <w:sz w:val="24"/>
          <w:szCs w:val="21"/>
          <w:u w:val="single"/>
        </w:rPr>
        <w:t>供应商名称</w:t>
      </w:r>
      <w:r>
        <w:rPr>
          <w:rFonts w:ascii="宋体" w:hAnsi="宋体"/>
          <w:sz w:val="24"/>
          <w:szCs w:val="21"/>
          <w:u w:val="single"/>
        </w:rPr>
        <w:t>)</w:t>
      </w:r>
      <w:r>
        <w:rPr>
          <w:rFonts w:hint="eastAsia" w:ascii="宋体" w:hAnsi="宋体"/>
          <w:sz w:val="24"/>
          <w:szCs w:val="21"/>
          <w:u w:val="single"/>
        </w:rPr>
        <w:t xml:space="preserve">       </w:t>
      </w:r>
      <w:r>
        <w:rPr>
          <w:rFonts w:hint="eastAsia" w:ascii="宋体" w:hAnsi="宋体"/>
          <w:sz w:val="24"/>
          <w:szCs w:val="21"/>
        </w:rPr>
        <w:t>的负责人，我方愿意参加贵方组织的</w:t>
      </w:r>
      <w:r>
        <w:rPr>
          <w:rFonts w:hint="eastAsia" w:ascii="宋体" w:hAnsi="宋体"/>
          <w:sz w:val="24"/>
          <w:szCs w:val="21"/>
          <w:u w:val="single"/>
        </w:rPr>
        <w:t xml:space="preserve">    （</w:t>
      </w:r>
      <w:r>
        <w:rPr>
          <w:rFonts w:ascii="宋体" w:hAnsi="宋体"/>
          <w:sz w:val="24"/>
          <w:szCs w:val="21"/>
          <w:u w:val="single"/>
        </w:rPr>
        <w:t>项目名称</w:t>
      </w:r>
      <w:r>
        <w:rPr>
          <w:rFonts w:hint="eastAsia" w:ascii="宋体" w:hAnsi="宋体"/>
          <w:sz w:val="24"/>
          <w:szCs w:val="21"/>
          <w:u w:val="single"/>
        </w:rPr>
        <w:t xml:space="preserve">） </w:t>
      </w:r>
      <w:r>
        <w:rPr>
          <w:rFonts w:ascii="宋体" w:hAnsi="宋体"/>
          <w:sz w:val="24"/>
          <w:szCs w:val="21"/>
          <w:u w:val="single"/>
        </w:rPr>
        <w:t xml:space="preserve"> </w:t>
      </w:r>
      <w:r>
        <w:rPr>
          <w:rFonts w:hint="eastAsia" w:ascii="宋体" w:hAnsi="宋体"/>
          <w:sz w:val="24"/>
          <w:szCs w:val="21"/>
        </w:rPr>
        <w:t>的磋商。为便于贵方公正、择优地确定成交人以及磋商产品和服务，我方就本次磋商有关事项证明如下：</w:t>
      </w:r>
    </w:p>
    <w:p w14:paraId="2F5AD808">
      <w:pPr>
        <w:pStyle w:val="87"/>
        <w:spacing w:line="360" w:lineRule="auto"/>
        <w:ind w:firstLine="420"/>
        <w:rPr>
          <w:rFonts w:hAnsi="宋体"/>
          <w:sz w:val="24"/>
          <w:szCs w:val="21"/>
        </w:rPr>
      </w:pPr>
      <w:r>
        <w:rPr>
          <w:rFonts w:hint="eastAsia" w:hAnsi="宋体"/>
          <w:sz w:val="24"/>
          <w:szCs w:val="21"/>
        </w:rPr>
        <w:t>（一）名称及概况：</w:t>
      </w:r>
    </w:p>
    <w:p w14:paraId="18EEE12C">
      <w:pPr>
        <w:pStyle w:val="87"/>
        <w:spacing w:line="360" w:lineRule="auto"/>
        <w:ind w:firstLine="420"/>
        <w:rPr>
          <w:rFonts w:hAnsi="宋体"/>
          <w:sz w:val="24"/>
          <w:szCs w:val="21"/>
        </w:rPr>
      </w:pPr>
      <w:r>
        <w:rPr>
          <w:rFonts w:hint="eastAsia" w:hAnsi="宋体"/>
          <w:sz w:val="24"/>
          <w:szCs w:val="21"/>
        </w:rPr>
        <w:t xml:space="preserve">1．企业名称：________________________________________________ </w:t>
      </w:r>
    </w:p>
    <w:p w14:paraId="0F9CF9B7">
      <w:pPr>
        <w:pStyle w:val="87"/>
        <w:spacing w:line="360" w:lineRule="auto"/>
        <w:ind w:firstLine="420"/>
        <w:rPr>
          <w:rFonts w:hAnsi="宋体"/>
          <w:b/>
          <w:bCs/>
          <w:sz w:val="24"/>
        </w:rPr>
      </w:pPr>
      <w:r>
        <w:rPr>
          <w:rFonts w:hint="eastAsia" w:hAnsi="宋体"/>
          <w:sz w:val="24"/>
          <w:szCs w:val="21"/>
        </w:rPr>
        <w:t>银行开户名称：________________________________________________</w:t>
      </w:r>
    </w:p>
    <w:p w14:paraId="0D7494F1">
      <w:pPr>
        <w:pStyle w:val="87"/>
        <w:spacing w:line="360" w:lineRule="auto"/>
        <w:ind w:firstLine="420"/>
        <w:rPr>
          <w:rFonts w:hAnsi="宋体"/>
          <w:sz w:val="24"/>
          <w:szCs w:val="21"/>
        </w:rPr>
      </w:pPr>
      <w:r>
        <w:rPr>
          <w:rFonts w:hint="eastAsia" w:hAnsi="宋体"/>
          <w:sz w:val="24"/>
          <w:szCs w:val="21"/>
        </w:rPr>
        <w:t xml:space="preserve">    开户银行：_________________________________________________ </w:t>
      </w:r>
    </w:p>
    <w:p w14:paraId="649E74D8">
      <w:pPr>
        <w:pStyle w:val="87"/>
        <w:spacing w:line="360" w:lineRule="auto"/>
        <w:ind w:firstLine="420"/>
        <w:rPr>
          <w:rFonts w:hAnsi="宋体"/>
          <w:sz w:val="24"/>
          <w:szCs w:val="21"/>
        </w:rPr>
      </w:pPr>
      <w:r>
        <w:rPr>
          <w:rFonts w:hint="eastAsia" w:hAnsi="宋体"/>
          <w:sz w:val="24"/>
          <w:szCs w:val="21"/>
        </w:rPr>
        <w:t xml:space="preserve">    账    号：________________________________________________ </w:t>
      </w:r>
    </w:p>
    <w:p w14:paraId="24475ABF">
      <w:pPr>
        <w:pStyle w:val="87"/>
        <w:spacing w:line="360" w:lineRule="auto"/>
        <w:ind w:firstLine="420"/>
        <w:rPr>
          <w:rFonts w:hAnsi="宋体"/>
          <w:sz w:val="24"/>
          <w:szCs w:val="21"/>
        </w:rPr>
      </w:pPr>
      <w:r>
        <w:rPr>
          <w:rFonts w:hint="eastAsia" w:hAnsi="宋体"/>
          <w:sz w:val="24"/>
          <w:szCs w:val="21"/>
        </w:rPr>
        <w:t xml:space="preserve">企业详细地址：________________________________________________ </w:t>
      </w:r>
    </w:p>
    <w:p w14:paraId="6B5402A2">
      <w:pPr>
        <w:pStyle w:val="87"/>
        <w:spacing w:line="360" w:lineRule="auto"/>
        <w:ind w:firstLine="420"/>
        <w:rPr>
          <w:rFonts w:hAnsi="宋体"/>
          <w:sz w:val="24"/>
          <w:szCs w:val="21"/>
        </w:rPr>
      </w:pPr>
      <w:r>
        <w:rPr>
          <w:rFonts w:hint="eastAsia" w:hAnsi="宋体"/>
          <w:sz w:val="24"/>
          <w:szCs w:val="21"/>
        </w:rPr>
        <w:t xml:space="preserve">    传    真： ________________________________________________</w:t>
      </w:r>
    </w:p>
    <w:p w14:paraId="242A110E">
      <w:pPr>
        <w:pStyle w:val="87"/>
        <w:spacing w:line="360" w:lineRule="auto"/>
        <w:ind w:firstLine="420"/>
        <w:rPr>
          <w:rFonts w:hAnsi="宋体"/>
          <w:sz w:val="24"/>
          <w:szCs w:val="21"/>
        </w:rPr>
      </w:pPr>
      <w:r>
        <w:rPr>
          <w:rFonts w:hint="eastAsia" w:hAnsi="宋体"/>
          <w:sz w:val="24"/>
          <w:szCs w:val="21"/>
        </w:rPr>
        <w:t xml:space="preserve">    电    话： ________________________________________________</w:t>
      </w:r>
    </w:p>
    <w:p w14:paraId="5215AE61">
      <w:pPr>
        <w:pStyle w:val="87"/>
        <w:spacing w:line="360" w:lineRule="auto"/>
        <w:ind w:firstLine="420"/>
        <w:rPr>
          <w:rFonts w:hAnsi="宋体"/>
          <w:sz w:val="24"/>
          <w:szCs w:val="21"/>
        </w:rPr>
      </w:pPr>
      <w:r>
        <w:rPr>
          <w:rFonts w:hint="eastAsia" w:hAnsi="宋体"/>
          <w:sz w:val="24"/>
          <w:szCs w:val="21"/>
        </w:rPr>
        <w:t xml:space="preserve">2．负责人姓名：___________________________________________ </w:t>
      </w:r>
    </w:p>
    <w:p w14:paraId="7F02B69B">
      <w:pPr>
        <w:pStyle w:val="87"/>
        <w:spacing w:line="360" w:lineRule="auto"/>
        <w:ind w:firstLine="420"/>
        <w:rPr>
          <w:rFonts w:hAnsi="宋体"/>
          <w:sz w:val="24"/>
          <w:szCs w:val="21"/>
        </w:rPr>
      </w:pPr>
      <w:r>
        <w:rPr>
          <w:rFonts w:hint="eastAsia" w:hAnsi="宋体"/>
          <w:sz w:val="24"/>
          <w:szCs w:val="21"/>
        </w:rPr>
        <w:t>3．项目联系人：姓名__________职务：______电话______手机______</w:t>
      </w:r>
    </w:p>
    <w:p w14:paraId="4532E7D9">
      <w:pPr>
        <w:pStyle w:val="87"/>
        <w:spacing w:line="360" w:lineRule="auto"/>
        <w:ind w:firstLine="420"/>
        <w:rPr>
          <w:rFonts w:hAnsi="宋体"/>
          <w:sz w:val="24"/>
        </w:rPr>
      </w:pPr>
      <w:r>
        <w:rPr>
          <w:rFonts w:hint="eastAsia" w:hAnsi="宋体"/>
          <w:sz w:val="24"/>
          <w:szCs w:val="21"/>
        </w:rPr>
        <w:t>4．注册地址：________________________________________________</w:t>
      </w:r>
    </w:p>
    <w:p w14:paraId="69966807">
      <w:pPr>
        <w:pStyle w:val="87"/>
        <w:spacing w:line="360" w:lineRule="auto"/>
        <w:ind w:firstLine="420"/>
        <w:rPr>
          <w:rFonts w:hAnsi="宋体"/>
          <w:sz w:val="24"/>
          <w:szCs w:val="21"/>
        </w:rPr>
      </w:pPr>
      <w:r>
        <w:rPr>
          <w:rFonts w:hint="eastAsia" w:hAnsi="宋体"/>
          <w:sz w:val="24"/>
          <w:szCs w:val="21"/>
        </w:rPr>
        <w:t xml:space="preserve">5．注册资金：________________________________________________ </w:t>
      </w:r>
    </w:p>
    <w:p w14:paraId="058A4282">
      <w:pPr>
        <w:pStyle w:val="87"/>
        <w:spacing w:line="360" w:lineRule="auto"/>
        <w:ind w:firstLine="735"/>
        <w:rPr>
          <w:rFonts w:hAnsi="宋体"/>
          <w:sz w:val="24"/>
          <w:szCs w:val="21"/>
        </w:rPr>
      </w:pPr>
      <w:r>
        <w:rPr>
          <w:rFonts w:hint="eastAsia" w:hAnsi="宋体"/>
          <w:sz w:val="24"/>
          <w:szCs w:val="21"/>
        </w:rPr>
        <w:t>自有资金：_________________________________________________</w:t>
      </w:r>
    </w:p>
    <w:p w14:paraId="2557637B">
      <w:pPr>
        <w:pStyle w:val="87"/>
        <w:spacing w:line="360" w:lineRule="auto"/>
        <w:ind w:firstLine="735"/>
        <w:rPr>
          <w:rFonts w:hAnsi="宋体"/>
          <w:sz w:val="24"/>
          <w:szCs w:val="21"/>
        </w:rPr>
      </w:pPr>
      <w:r>
        <w:rPr>
          <w:rFonts w:hint="eastAsia" w:hAnsi="宋体"/>
          <w:sz w:val="24"/>
          <w:szCs w:val="21"/>
        </w:rPr>
        <w:t>企业人数：______</w:t>
      </w:r>
      <w:r>
        <w:rPr>
          <w:rFonts w:hint="eastAsia" w:hAnsi="宋体"/>
          <w:b/>
          <w:bCs/>
          <w:sz w:val="24"/>
          <w:szCs w:val="21"/>
        </w:rPr>
        <w:t>_</w:t>
      </w:r>
      <w:r>
        <w:rPr>
          <w:rFonts w:hint="eastAsia" w:hAnsi="宋体"/>
          <w:sz w:val="24"/>
          <w:szCs w:val="21"/>
        </w:rPr>
        <w:t>人</w:t>
      </w:r>
    </w:p>
    <w:p w14:paraId="648E7C14">
      <w:pPr>
        <w:pStyle w:val="87"/>
        <w:spacing w:line="360" w:lineRule="auto"/>
        <w:ind w:firstLine="420"/>
        <w:rPr>
          <w:rFonts w:hAnsi="宋体"/>
          <w:sz w:val="24"/>
          <w:szCs w:val="21"/>
        </w:rPr>
      </w:pPr>
      <w:r>
        <w:rPr>
          <w:rFonts w:hint="eastAsia" w:hAnsi="宋体"/>
          <w:sz w:val="24"/>
          <w:szCs w:val="21"/>
        </w:rPr>
        <w:t xml:space="preserve">6．企业性质： </w:t>
      </w:r>
      <w:r>
        <w:rPr>
          <w:rFonts w:hint="eastAsia" w:hAnsi="宋体"/>
          <w:sz w:val="24"/>
          <w:szCs w:val="21"/>
          <w:u w:val="single"/>
        </w:rPr>
        <w:t xml:space="preserve">                        </w:t>
      </w:r>
      <w:r>
        <w:rPr>
          <w:rFonts w:hint="eastAsia" w:hAnsi="宋体"/>
          <w:sz w:val="24"/>
          <w:szCs w:val="21"/>
        </w:rPr>
        <w:t xml:space="preserve">   </w:t>
      </w:r>
    </w:p>
    <w:p w14:paraId="7B814031">
      <w:pPr>
        <w:pStyle w:val="87"/>
        <w:spacing w:line="360" w:lineRule="auto"/>
        <w:ind w:firstLine="420"/>
        <w:rPr>
          <w:rFonts w:hAnsi="宋体"/>
          <w:sz w:val="24"/>
          <w:szCs w:val="21"/>
        </w:rPr>
      </w:pPr>
      <w:r>
        <w:rPr>
          <w:rFonts w:hint="eastAsia" w:hAnsi="宋体"/>
          <w:sz w:val="24"/>
          <w:szCs w:val="21"/>
        </w:rPr>
        <w:t xml:space="preserve">7．主要经营地点：________________________________________________ </w:t>
      </w:r>
    </w:p>
    <w:p w14:paraId="4099FC4C">
      <w:pPr>
        <w:pStyle w:val="87"/>
        <w:spacing w:line="360" w:lineRule="auto"/>
        <w:ind w:firstLine="420"/>
        <w:rPr>
          <w:rFonts w:hAnsi="宋体"/>
          <w:sz w:val="24"/>
          <w:szCs w:val="21"/>
        </w:rPr>
      </w:pPr>
      <w:r>
        <w:rPr>
          <w:rFonts w:hint="eastAsia" w:hAnsi="宋体"/>
          <w:sz w:val="24"/>
          <w:szCs w:val="21"/>
        </w:rPr>
        <w:t>如有派出机构，请列出名称及详细通讯地址如下：________________</w:t>
      </w:r>
    </w:p>
    <w:p w14:paraId="7AE74FAE">
      <w:pPr>
        <w:pStyle w:val="87"/>
        <w:spacing w:line="360" w:lineRule="auto"/>
        <w:ind w:firstLine="480" w:firstLineChars="200"/>
        <w:rPr>
          <w:rFonts w:hAnsi="宋体"/>
          <w:sz w:val="24"/>
          <w:szCs w:val="21"/>
        </w:rPr>
      </w:pPr>
      <w:r>
        <w:rPr>
          <w:rFonts w:hint="eastAsia" w:hAnsi="宋体"/>
          <w:sz w:val="24"/>
          <w:szCs w:val="21"/>
        </w:rPr>
        <w:t>兹证明上述声明是真实、正确的，并提供了全部能提供的资料和数据，我们同意遵照贵方要求出示有关证明文件。</w:t>
      </w:r>
    </w:p>
    <w:p w14:paraId="1FC43B2C">
      <w:pPr>
        <w:pStyle w:val="5"/>
        <w:spacing w:line="360" w:lineRule="auto"/>
        <w:ind w:firstLine="0"/>
        <w:rPr>
          <w:rFonts w:ascii="宋体" w:hAnsi="宋体"/>
          <w:sz w:val="24"/>
        </w:rPr>
      </w:pPr>
      <w:r>
        <w:rPr>
          <w:rFonts w:hint="eastAsia" w:ascii="宋体" w:hAnsi="宋体"/>
          <w:sz w:val="24"/>
          <w:szCs w:val="21"/>
        </w:rPr>
        <w:t xml:space="preserve">  </w:t>
      </w:r>
      <w:bookmarkEnd w:id="46"/>
    </w:p>
    <w:p w14:paraId="3229F823">
      <w:pPr>
        <w:spacing w:line="360" w:lineRule="auto"/>
        <w:jc w:val="center"/>
        <w:rPr>
          <w:rFonts w:ascii="宋体" w:hAnsi="宋体"/>
        </w:rPr>
      </w:pPr>
    </w:p>
    <w:p w14:paraId="54130D85">
      <w:pPr>
        <w:spacing w:line="360" w:lineRule="auto"/>
        <w:jc w:val="center"/>
        <w:rPr>
          <w:rFonts w:ascii="宋体" w:hAnsi="宋体"/>
        </w:rPr>
      </w:pPr>
    </w:p>
    <w:p w14:paraId="40CAA3C8">
      <w:pPr>
        <w:spacing w:line="360" w:lineRule="auto"/>
        <w:jc w:val="center"/>
        <w:rPr>
          <w:rFonts w:ascii="宋体" w:hAnsi="宋体"/>
        </w:rPr>
      </w:pPr>
    </w:p>
    <w:p w14:paraId="7AAD47CE">
      <w:pPr>
        <w:spacing w:line="360" w:lineRule="auto"/>
        <w:jc w:val="center"/>
        <w:rPr>
          <w:rFonts w:ascii="宋体" w:hAnsi="宋体"/>
        </w:rPr>
      </w:pPr>
    </w:p>
    <w:p w14:paraId="48C2180F">
      <w:pPr>
        <w:spacing w:line="360" w:lineRule="auto"/>
        <w:jc w:val="center"/>
        <w:rPr>
          <w:rFonts w:ascii="宋体" w:hAnsi="宋体"/>
        </w:rPr>
      </w:pPr>
    </w:p>
    <w:p w14:paraId="5C1D228B">
      <w:pPr>
        <w:spacing w:line="360" w:lineRule="auto"/>
        <w:jc w:val="center"/>
        <w:rPr>
          <w:rFonts w:ascii="宋体" w:hAnsi="宋体"/>
        </w:rPr>
      </w:pPr>
    </w:p>
    <w:p w14:paraId="199CE71E">
      <w:pPr>
        <w:spacing w:line="360" w:lineRule="auto"/>
        <w:jc w:val="center"/>
        <w:rPr>
          <w:rFonts w:ascii="宋体" w:hAnsi="宋体"/>
        </w:rPr>
      </w:pPr>
    </w:p>
    <w:p w14:paraId="20973CFB">
      <w:pPr>
        <w:spacing w:line="360" w:lineRule="auto"/>
        <w:jc w:val="center"/>
        <w:rPr>
          <w:rFonts w:ascii="宋体" w:hAnsi="宋体"/>
        </w:rPr>
      </w:pPr>
    </w:p>
    <w:p w14:paraId="311045E5">
      <w:pPr>
        <w:spacing w:line="360" w:lineRule="auto"/>
        <w:jc w:val="center"/>
        <w:rPr>
          <w:rFonts w:ascii="宋体" w:hAnsi="宋体"/>
        </w:rPr>
      </w:pPr>
    </w:p>
    <w:p w14:paraId="2D322DE3">
      <w:pPr>
        <w:spacing w:line="360" w:lineRule="auto"/>
        <w:jc w:val="center"/>
        <w:rPr>
          <w:rFonts w:ascii="宋体" w:hAnsi="宋体"/>
        </w:rPr>
      </w:pPr>
    </w:p>
    <w:p w14:paraId="65E15556">
      <w:pPr>
        <w:spacing w:line="360" w:lineRule="auto"/>
        <w:jc w:val="center"/>
        <w:rPr>
          <w:rFonts w:ascii="宋体" w:hAnsi="宋体"/>
        </w:rPr>
      </w:pPr>
    </w:p>
    <w:p w14:paraId="1C60E9A0">
      <w:pPr>
        <w:spacing w:line="360" w:lineRule="auto"/>
        <w:jc w:val="center"/>
        <w:rPr>
          <w:rFonts w:ascii="宋体" w:hAnsi="宋体"/>
        </w:rPr>
      </w:pPr>
    </w:p>
    <w:p w14:paraId="29DBE41E">
      <w:pPr>
        <w:spacing w:line="360" w:lineRule="auto"/>
        <w:jc w:val="center"/>
        <w:rPr>
          <w:rFonts w:ascii="宋体" w:hAnsi="宋体"/>
        </w:rPr>
      </w:pPr>
    </w:p>
    <w:p w14:paraId="394B6640">
      <w:pPr>
        <w:spacing w:line="360" w:lineRule="auto"/>
        <w:jc w:val="center"/>
        <w:rPr>
          <w:rFonts w:ascii="宋体" w:hAnsi="宋体"/>
        </w:rPr>
      </w:pPr>
    </w:p>
    <w:p w14:paraId="3C179EA3">
      <w:pPr>
        <w:spacing w:line="360" w:lineRule="auto"/>
        <w:jc w:val="center"/>
        <w:rPr>
          <w:rFonts w:ascii="宋体" w:hAnsi="宋体"/>
        </w:rPr>
      </w:pPr>
    </w:p>
    <w:p w14:paraId="5E4000F8">
      <w:pPr>
        <w:spacing w:line="360" w:lineRule="auto"/>
        <w:jc w:val="center"/>
        <w:rPr>
          <w:rFonts w:ascii="宋体" w:hAnsi="宋体"/>
        </w:rPr>
      </w:pPr>
    </w:p>
    <w:p w14:paraId="77B9138E">
      <w:pPr>
        <w:pStyle w:val="4"/>
        <w:tabs>
          <w:tab w:val="left" w:pos="3405"/>
        </w:tabs>
        <w:ind w:firstLine="321" w:firstLineChars="100"/>
        <w:jc w:val="center"/>
        <w:rPr>
          <w:rFonts w:ascii="宋体" w:hAnsi="宋体" w:eastAsia="宋体"/>
        </w:rPr>
      </w:pPr>
      <w:bookmarkStart w:id="47" w:name="_Toc95400428"/>
      <w:bookmarkStart w:id="48" w:name="_Toc386467624"/>
      <w:bookmarkStart w:id="49" w:name="_Toc112339168"/>
      <w:r>
        <w:rPr>
          <w:rFonts w:hint="eastAsia" w:ascii="宋体" w:hAnsi="宋体" w:eastAsia="宋体"/>
          <w:sz w:val="32"/>
        </w:rPr>
        <w:t>二  资信商务及技术文件格式</w:t>
      </w:r>
      <w:bookmarkEnd w:id="47"/>
      <w:bookmarkEnd w:id="48"/>
      <w:bookmarkEnd w:id="49"/>
    </w:p>
    <w:p w14:paraId="24428750">
      <w:pPr>
        <w:spacing w:line="360" w:lineRule="auto"/>
        <w:jc w:val="center"/>
        <w:rPr>
          <w:rFonts w:ascii="宋体" w:hAnsi="宋体"/>
          <w:b/>
          <w:sz w:val="32"/>
        </w:rPr>
      </w:pPr>
      <w:r>
        <w:rPr>
          <w:rFonts w:ascii="宋体" w:hAnsi="宋体"/>
          <w:b/>
          <w:sz w:val="30"/>
        </w:rPr>
        <w:br w:type="page"/>
      </w:r>
    </w:p>
    <w:p w14:paraId="6B2C9CEC">
      <w:pPr>
        <w:spacing w:line="360" w:lineRule="auto"/>
        <w:jc w:val="center"/>
        <w:rPr>
          <w:rFonts w:ascii="宋体" w:hAnsi="宋体"/>
          <w:b/>
          <w:sz w:val="30"/>
        </w:rPr>
      </w:pPr>
      <w:r>
        <w:rPr>
          <w:rFonts w:hint="eastAsia" w:ascii="宋体" w:hAnsi="宋体"/>
          <w:b/>
          <w:sz w:val="32"/>
        </w:rPr>
        <w:t>资信商务及技术文件封面</w:t>
      </w:r>
    </w:p>
    <w:p w14:paraId="770BF194">
      <w:pPr>
        <w:pStyle w:val="5"/>
        <w:spacing w:line="360" w:lineRule="auto"/>
        <w:ind w:firstLine="900" w:firstLineChars="250"/>
        <w:rPr>
          <w:rFonts w:ascii="宋体" w:hAnsi="宋体"/>
          <w:sz w:val="36"/>
        </w:rPr>
      </w:pPr>
    </w:p>
    <w:p w14:paraId="19EDFA78">
      <w:pPr>
        <w:pStyle w:val="5"/>
        <w:spacing w:line="360" w:lineRule="auto"/>
        <w:ind w:firstLine="0"/>
        <w:rPr>
          <w:rFonts w:ascii="宋体" w:hAnsi="宋体"/>
          <w:sz w:val="36"/>
        </w:rPr>
      </w:pPr>
    </w:p>
    <w:p w14:paraId="70E49BF8">
      <w:pPr>
        <w:pStyle w:val="5"/>
        <w:spacing w:line="360" w:lineRule="auto"/>
        <w:ind w:firstLine="900" w:firstLineChars="250"/>
        <w:rPr>
          <w:rFonts w:ascii="宋体" w:hAnsi="宋体"/>
          <w:sz w:val="36"/>
        </w:rPr>
      </w:pPr>
      <w:r>
        <w:rPr>
          <w:rFonts w:ascii="宋体" w:hAnsi="宋体"/>
          <w:sz w:val="36"/>
        </w:rPr>
        <w:t>项目名称：</w:t>
      </w:r>
    </w:p>
    <w:p w14:paraId="72681BA0">
      <w:pPr>
        <w:pStyle w:val="5"/>
        <w:spacing w:line="360" w:lineRule="auto"/>
        <w:ind w:firstLine="0"/>
        <w:rPr>
          <w:rFonts w:ascii="宋体" w:hAnsi="宋体"/>
          <w:sz w:val="36"/>
        </w:rPr>
      </w:pPr>
    </w:p>
    <w:p w14:paraId="53FF2DDC">
      <w:pPr>
        <w:pStyle w:val="5"/>
        <w:spacing w:line="360" w:lineRule="auto"/>
        <w:ind w:firstLine="0"/>
        <w:rPr>
          <w:rFonts w:ascii="宋体" w:hAnsi="宋体"/>
          <w:sz w:val="36"/>
        </w:rPr>
      </w:pPr>
    </w:p>
    <w:p w14:paraId="15E0DA51">
      <w:pPr>
        <w:pStyle w:val="5"/>
        <w:spacing w:line="360" w:lineRule="auto"/>
        <w:ind w:firstLine="900" w:firstLineChars="250"/>
        <w:rPr>
          <w:rFonts w:ascii="宋体" w:hAnsi="宋体"/>
          <w:sz w:val="36"/>
        </w:rPr>
      </w:pPr>
      <w:r>
        <w:rPr>
          <w:rFonts w:hint="eastAsia" w:ascii="宋体" w:hAnsi="宋体"/>
          <w:sz w:val="36"/>
        </w:rPr>
        <w:t>响应</w:t>
      </w:r>
      <w:r>
        <w:rPr>
          <w:rFonts w:ascii="宋体" w:hAnsi="宋体"/>
          <w:sz w:val="36"/>
        </w:rPr>
        <w:t>文件名称：</w:t>
      </w:r>
      <w:r>
        <w:rPr>
          <w:rFonts w:hint="eastAsia" w:ascii="宋体" w:hAnsi="宋体"/>
          <w:sz w:val="36"/>
        </w:rPr>
        <w:t>资信商务及技术文件</w:t>
      </w:r>
    </w:p>
    <w:p w14:paraId="33278115">
      <w:pPr>
        <w:pStyle w:val="5"/>
        <w:spacing w:line="360" w:lineRule="auto"/>
        <w:ind w:firstLine="0"/>
        <w:rPr>
          <w:rFonts w:ascii="宋体" w:hAnsi="宋体"/>
          <w:sz w:val="36"/>
        </w:rPr>
      </w:pPr>
    </w:p>
    <w:p w14:paraId="0DE83D8F">
      <w:pPr>
        <w:pStyle w:val="5"/>
        <w:spacing w:line="360" w:lineRule="auto"/>
        <w:ind w:firstLine="0"/>
        <w:rPr>
          <w:rFonts w:ascii="宋体" w:hAnsi="宋体"/>
          <w:sz w:val="36"/>
        </w:rPr>
      </w:pPr>
    </w:p>
    <w:p w14:paraId="7554FE8B">
      <w:pPr>
        <w:pStyle w:val="5"/>
        <w:spacing w:line="360" w:lineRule="auto"/>
        <w:ind w:firstLine="900" w:firstLineChars="250"/>
        <w:rPr>
          <w:rFonts w:ascii="宋体" w:hAnsi="宋体"/>
          <w:sz w:val="36"/>
        </w:rPr>
      </w:pPr>
      <w:r>
        <w:rPr>
          <w:rFonts w:hint="eastAsia" w:ascii="宋体" w:hAnsi="宋体"/>
          <w:sz w:val="36"/>
        </w:rPr>
        <w:t>供应商</w:t>
      </w:r>
      <w:r>
        <w:rPr>
          <w:rFonts w:ascii="宋体" w:hAnsi="宋体"/>
          <w:sz w:val="36"/>
        </w:rPr>
        <w:t>名称（</w:t>
      </w:r>
      <w:r>
        <w:rPr>
          <w:rFonts w:hint="eastAsia" w:ascii="宋体" w:hAnsi="宋体"/>
          <w:sz w:val="36"/>
        </w:rPr>
        <w:t>盖章</w:t>
      </w:r>
      <w:r>
        <w:rPr>
          <w:rFonts w:ascii="宋体" w:hAnsi="宋体"/>
          <w:sz w:val="36"/>
        </w:rPr>
        <w:t>）：</w:t>
      </w:r>
    </w:p>
    <w:p w14:paraId="09306D59">
      <w:pPr>
        <w:pStyle w:val="5"/>
        <w:spacing w:line="360" w:lineRule="auto"/>
        <w:ind w:firstLine="900" w:firstLineChars="250"/>
        <w:rPr>
          <w:rFonts w:ascii="宋体" w:hAnsi="宋体"/>
          <w:sz w:val="36"/>
        </w:rPr>
      </w:pPr>
    </w:p>
    <w:p w14:paraId="649000CD">
      <w:pPr>
        <w:pStyle w:val="5"/>
        <w:spacing w:line="360" w:lineRule="auto"/>
        <w:ind w:firstLine="900" w:firstLineChars="250"/>
        <w:rPr>
          <w:rFonts w:ascii="宋体" w:hAnsi="宋体"/>
          <w:sz w:val="36"/>
        </w:rPr>
      </w:pPr>
    </w:p>
    <w:p w14:paraId="0D5B5FBF">
      <w:pPr>
        <w:pStyle w:val="5"/>
        <w:spacing w:line="360" w:lineRule="auto"/>
        <w:ind w:firstLine="900" w:firstLineChars="250"/>
        <w:rPr>
          <w:rFonts w:ascii="宋体" w:hAnsi="宋体"/>
          <w:sz w:val="36"/>
        </w:rPr>
      </w:pPr>
      <w:r>
        <w:rPr>
          <w:rFonts w:hint="eastAsia" w:ascii="宋体" w:hAnsi="宋体"/>
          <w:sz w:val="36"/>
        </w:rPr>
        <w:t>供应商</w:t>
      </w:r>
      <w:r>
        <w:rPr>
          <w:rFonts w:ascii="宋体" w:hAnsi="宋体"/>
          <w:sz w:val="36"/>
        </w:rPr>
        <w:t>地址：</w:t>
      </w:r>
    </w:p>
    <w:p w14:paraId="4F8EF844">
      <w:pPr>
        <w:pStyle w:val="5"/>
        <w:ind w:firstLine="1440" w:firstLineChars="400"/>
        <w:rPr>
          <w:rFonts w:ascii="宋体" w:hAnsi="宋体"/>
          <w:sz w:val="36"/>
        </w:rPr>
      </w:pPr>
    </w:p>
    <w:p w14:paraId="6786BCA0">
      <w:pPr>
        <w:pStyle w:val="15"/>
        <w:spacing w:line="360" w:lineRule="auto"/>
        <w:jc w:val="center"/>
        <w:rPr>
          <w:rFonts w:hAnsi="宋体"/>
          <w:sz w:val="36"/>
        </w:rPr>
      </w:pPr>
    </w:p>
    <w:p w14:paraId="30B6F51F">
      <w:pPr>
        <w:pStyle w:val="15"/>
        <w:spacing w:line="360" w:lineRule="auto"/>
        <w:jc w:val="center"/>
        <w:rPr>
          <w:rFonts w:hAnsi="宋体"/>
          <w:sz w:val="30"/>
        </w:rPr>
      </w:pPr>
    </w:p>
    <w:p w14:paraId="681D8B59">
      <w:pPr>
        <w:pStyle w:val="15"/>
        <w:spacing w:line="360" w:lineRule="auto"/>
        <w:jc w:val="center"/>
        <w:rPr>
          <w:rFonts w:hAnsi="宋体"/>
          <w:sz w:val="30"/>
        </w:rPr>
      </w:pPr>
    </w:p>
    <w:p w14:paraId="12B74EFB">
      <w:pPr>
        <w:pStyle w:val="15"/>
        <w:spacing w:line="360" w:lineRule="auto"/>
        <w:jc w:val="center"/>
        <w:rPr>
          <w:rFonts w:hAnsi="宋体"/>
          <w:sz w:val="30"/>
        </w:rPr>
      </w:pPr>
    </w:p>
    <w:p w14:paraId="5091D00C">
      <w:pPr>
        <w:pStyle w:val="15"/>
        <w:spacing w:line="360" w:lineRule="auto"/>
        <w:jc w:val="center"/>
        <w:rPr>
          <w:rFonts w:hAnsi="宋体"/>
          <w:sz w:val="30"/>
        </w:rPr>
      </w:pPr>
    </w:p>
    <w:p w14:paraId="2BA59AA3">
      <w:pPr>
        <w:pStyle w:val="15"/>
        <w:spacing w:line="360" w:lineRule="auto"/>
        <w:jc w:val="center"/>
        <w:rPr>
          <w:rFonts w:hAnsi="宋体"/>
          <w:sz w:val="30"/>
        </w:rPr>
      </w:pPr>
    </w:p>
    <w:p w14:paraId="356BD27C">
      <w:pPr>
        <w:pStyle w:val="15"/>
        <w:spacing w:line="360" w:lineRule="auto"/>
        <w:jc w:val="center"/>
        <w:rPr>
          <w:rFonts w:hAnsi="宋体"/>
          <w:sz w:val="30"/>
        </w:rPr>
      </w:pPr>
    </w:p>
    <w:p w14:paraId="4E87697F">
      <w:pPr>
        <w:pStyle w:val="15"/>
        <w:spacing w:line="360" w:lineRule="auto"/>
        <w:jc w:val="center"/>
        <w:rPr>
          <w:rFonts w:hAnsi="宋体"/>
          <w:sz w:val="30"/>
        </w:rPr>
      </w:pPr>
      <w:r>
        <w:rPr>
          <w:rFonts w:hint="eastAsia" w:hAnsi="宋体"/>
          <w:sz w:val="30"/>
        </w:rPr>
        <w:t>（一）资信商务部分</w:t>
      </w:r>
    </w:p>
    <w:p w14:paraId="70100F74">
      <w:pPr>
        <w:pStyle w:val="93"/>
        <w:spacing w:line="360" w:lineRule="auto"/>
        <w:ind w:firstLine="480" w:firstLineChars="200"/>
        <w:rPr>
          <w:rFonts w:hAnsi="宋体"/>
          <w:sz w:val="24"/>
          <w:szCs w:val="21"/>
        </w:rPr>
      </w:pPr>
      <w:r>
        <w:rPr>
          <w:rFonts w:hAnsi="宋体"/>
          <w:sz w:val="24"/>
          <w:szCs w:val="21"/>
        </w:rPr>
        <w:fldChar w:fldCharType="begin"/>
      </w:r>
      <w:r>
        <w:rPr>
          <w:rFonts w:hAnsi="宋体"/>
          <w:sz w:val="24"/>
          <w:szCs w:val="21"/>
        </w:rPr>
        <w:instrText xml:space="preserve"> </w:instrText>
      </w:r>
      <w:r>
        <w:rPr>
          <w:rFonts w:hint="eastAsia" w:hAnsi="宋体"/>
          <w:sz w:val="24"/>
          <w:szCs w:val="21"/>
        </w:rPr>
        <w:instrText xml:space="preserve">= 1 \* GB2</w:instrText>
      </w:r>
      <w:r>
        <w:rPr>
          <w:rFonts w:hAnsi="宋体"/>
          <w:sz w:val="24"/>
          <w:szCs w:val="21"/>
        </w:rPr>
        <w:instrText xml:space="preserve"> </w:instrText>
      </w:r>
      <w:r>
        <w:rPr>
          <w:rFonts w:hAnsi="宋体"/>
          <w:sz w:val="24"/>
          <w:szCs w:val="21"/>
        </w:rPr>
        <w:fldChar w:fldCharType="separate"/>
      </w:r>
      <w:r>
        <w:rPr>
          <w:rFonts w:hint="eastAsia" w:hAnsi="宋体"/>
          <w:sz w:val="24"/>
          <w:szCs w:val="21"/>
        </w:rPr>
        <w:t>⑴</w:t>
      </w:r>
      <w:r>
        <w:rPr>
          <w:rFonts w:hAnsi="宋体"/>
          <w:sz w:val="24"/>
          <w:szCs w:val="21"/>
        </w:rPr>
        <w:fldChar w:fldCharType="end"/>
      </w:r>
      <w:r>
        <w:rPr>
          <w:rFonts w:hint="eastAsia" w:hAnsi="宋体"/>
          <w:sz w:val="24"/>
          <w:szCs w:val="21"/>
        </w:rPr>
        <w:t>资信商务评审办法要求的其他资料；</w:t>
      </w:r>
    </w:p>
    <w:p w14:paraId="0B60B543">
      <w:pPr>
        <w:pStyle w:val="93"/>
        <w:spacing w:line="360" w:lineRule="auto"/>
        <w:ind w:firstLine="480" w:firstLineChars="200"/>
        <w:rPr>
          <w:rFonts w:hAnsi="宋体"/>
          <w:sz w:val="24"/>
          <w:szCs w:val="21"/>
        </w:rPr>
      </w:pPr>
      <w:r>
        <w:rPr>
          <w:rFonts w:hAnsi="宋体"/>
          <w:sz w:val="24"/>
          <w:szCs w:val="21"/>
        </w:rPr>
        <w:fldChar w:fldCharType="begin"/>
      </w:r>
      <w:r>
        <w:rPr>
          <w:rFonts w:hAnsi="宋体"/>
          <w:sz w:val="24"/>
          <w:szCs w:val="21"/>
        </w:rPr>
        <w:instrText xml:space="preserve"> </w:instrText>
      </w:r>
      <w:r>
        <w:rPr>
          <w:rFonts w:hint="eastAsia" w:hAnsi="宋体"/>
          <w:sz w:val="24"/>
          <w:szCs w:val="21"/>
        </w:rPr>
        <w:instrText xml:space="preserve">= 2 \* GB2</w:instrText>
      </w:r>
      <w:r>
        <w:rPr>
          <w:rFonts w:hAnsi="宋体"/>
          <w:sz w:val="24"/>
          <w:szCs w:val="21"/>
        </w:rPr>
        <w:instrText xml:space="preserve"> </w:instrText>
      </w:r>
      <w:r>
        <w:rPr>
          <w:rFonts w:hAnsi="宋体"/>
          <w:sz w:val="24"/>
          <w:szCs w:val="21"/>
        </w:rPr>
        <w:fldChar w:fldCharType="separate"/>
      </w:r>
      <w:r>
        <w:rPr>
          <w:rFonts w:hint="eastAsia" w:hAnsi="宋体"/>
          <w:sz w:val="24"/>
          <w:szCs w:val="21"/>
        </w:rPr>
        <w:t>⑵</w:t>
      </w:r>
      <w:r>
        <w:rPr>
          <w:rFonts w:hAnsi="宋体"/>
          <w:sz w:val="24"/>
          <w:szCs w:val="21"/>
        </w:rPr>
        <w:fldChar w:fldCharType="end"/>
      </w:r>
      <w:r>
        <w:rPr>
          <w:rFonts w:hint="eastAsia" w:hAnsi="宋体"/>
          <w:sz w:val="24"/>
          <w:szCs w:val="21"/>
        </w:rPr>
        <w:t>供应商认为可以证明其资信商务方面的其他材料。</w:t>
      </w:r>
    </w:p>
    <w:p w14:paraId="469DCDF5">
      <w:pPr>
        <w:spacing w:line="360" w:lineRule="auto"/>
        <w:ind w:firstLine="420" w:firstLineChars="200"/>
        <w:rPr>
          <w:rFonts w:ascii="宋体" w:hAnsi="宋体"/>
        </w:rPr>
      </w:pPr>
      <w:r>
        <w:rPr>
          <w:rFonts w:ascii="宋体" w:hAnsi="宋体"/>
        </w:rPr>
        <w:br w:type="page"/>
      </w:r>
    </w:p>
    <w:p w14:paraId="39EC713A">
      <w:pPr>
        <w:pStyle w:val="93"/>
        <w:spacing w:line="360" w:lineRule="auto"/>
        <w:ind w:firstLine="420" w:firstLineChars="200"/>
        <w:rPr>
          <w:rFonts w:hAnsi="宋体"/>
        </w:rPr>
      </w:pPr>
    </w:p>
    <w:p w14:paraId="1D0FA4FD">
      <w:pPr>
        <w:rPr>
          <w:rFonts w:ascii="宋体" w:hAnsi="宋体"/>
        </w:rPr>
      </w:pPr>
    </w:p>
    <w:p w14:paraId="6BECC3EA">
      <w:pPr>
        <w:spacing w:line="360" w:lineRule="auto"/>
        <w:jc w:val="center"/>
        <w:rPr>
          <w:rFonts w:ascii="宋体" w:hAnsi="宋体"/>
          <w:sz w:val="30"/>
        </w:rPr>
      </w:pPr>
      <w:r>
        <w:rPr>
          <w:rFonts w:hint="eastAsia" w:ascii="宋体" w:hAnsi="宋体"/>
          <w:sz w:val="30"/>
        </w:rPr>
        <w:t>（二）</w:t>
      </w:r>
      <w:r>
        <w:rPr>
          <w:rFonts w:ascii="宋体" w:hAnsi="宋体"/>
          <w:sz w:val="30"/>
        </w:rPr>
        <w:t>技术</w:t>
      </w:r>
      <w:r>
        <w:rPr>
          <w:rFonts w:hint="eastAsia" w:ascii="宋体" w:hAnsi="宋体"/>
          <w:sz w:val="30"/>
        </w:rPr>
        <w:t>部分</w:t>
      </w:r>
    </w:p>
    <w:p w14:paraId="328AB493">
      <w:pPr>
        <w:tabs>
          <w:tab w:val="left" w:pos="2355"/>
          <w:tab w:val="center" w:pos="4513"/>
        </w:tabs>
        <w:spacing w:line="360" w:lineRule="auto"/>
        <w:jc w:val="center"/>
        <w:rPr>
          <w:rFonts w:ascii="宋体" w:hAnsi="宋体"/>
          <w:sz w:val="30"/>
          <w:szCs w:val="30"/>
        </w:rPr>
      </w:pPr>
      <w:r>
        <w:rPr>
          <w:rFonts w:ascii="宋体" w:hAnsi="宋体"/>
          <w:sz w:val="30"/>
          <w:szCs w:val="30"/>
        </w:rPr>
        <w:br w:type="page"/>
      </w:r>
    </w:p>
    <w:p w14:paraId="728F88F2">
      <w:pPr>
        <w:spacing w:line="360" w:lineRule="auto"/>
        <w:jc w:val="center"/>
        <w:rPr>
          <w:rFonts w:ascii="宋体" w:hAnsi="宋体"/>
          <w:sz w:val="30"/>
          <w:szCs w:val="30"/>
        </w:rPr>
      </w:pPr>
      <w:r>
        <w:rPr>
          <w:rFonts w:hint="eastAsia" w:ascii="宋体" w:hAnsi="宋体"/>
          <w:sz w:val="30"/>
          <w:szCs w:val="30"/>
        </w:rPr>
        <w:t>1、项目实施方案</w:t>
      </w:r>
    </w:p>
    <w:p w14:paraId="779EB8B7">
      <w:pPr>
        <w:spacing w:line="360" w:lineRule="auto"/>
        <w:jc w:val="center"/>
        <w:rPr>
          <w:rFonts w:ascii="宋体" w:hAnsi="宋体"/>
          <w:sz w:val="30"/>
          <w:szCs w:val="30"/>
        </w:rPr>
      </w:pPr>
    </w:p>
    <w:p w14:paraId="0200A6F9">
      <w:pPr>
        <w:spacing w:line="360" w:lineRule="auto"/>
        <w:jc w:val="center"/>
        <w:rPr>
          <w:rFonts w:ascii="宋体" w:hAnsi="宋体"/>
          <w:sz w:val="32"/>
        </w:rPr>
      </w:pPr>
    </w:p>
    <w:p w14:paraId="0A25A8FA">
      <w:pPr>
        <w:spacing w:line="360" w:lineRule="auto"/>
        <w:jc w:val="center"/>
        <w:rPr>
          <w:rFonts w:ascii="宋体" w:hAnsi="宋体"/>
          <w:sz w:val="32"/>
        </w:rPr>
      </w:pPr>
    </w:p>
    <w:p w14:paraId="2A99374A">
      <w:pPr>
        <w:spacing w:line="360" w:lineRule="auto"/>
        <w:jc w:val="center"/>
        <w:rPr>
          <w:rFonts w:ascii="宋体" w:hAnsi="宋体"/>
          <w:sz w:val="32"/>
        </w:rPr>
      </w:pPr>
    </w:p>
    <w:p w14:paraId="5A585107">
      <w:pPr>
        <w:spacing w:line="360" w:lineRule="auto"/>
        <w:jc w:val="center"/>
        <w:rPr>
          <w:rFonts w:ascii="宋体" w:hAnsi="宋体"/>
          <w:sz w:val="30"/>
          <w:szCs w:val="30"/>
        </w:rPr>
      </w:pPr>
      <w:r>
        <w:rPr>
          <w:rFonts w:hint="eastAsia" w:ascii="宋体" w:hAnsi="宋体"/>
          <w:sz w:val="32"/>
        </w:rPr>
        <w:t>2、</w:t>
      </w:r>
      <w:r>
        <w:rPr>
          <w:rFonts w:hint="eastAsia" w:ascii="宋体" w:hAnsi="宋体"/>
          <w:sz w:val="30"/>
          <w:szCs w:val="30"/>
        </w:rPr>
        <w:t>项目驻点人员配备情况表</w:t>
      </w:r>
    </w:p>
    <w:p w14:paraId="32FFC4F1">
      <w:pPr>
        <w:spacing w:line="360" w:lineRule="auto"/>
        <w:rPr>
          <w:rFonts w:ascii="宋体" w:hAnsi="宋体"/>
          <w:spacing w:val="20"/>
          <w:sz w:val="24"/>
        </w:rPr>
      </w:pPr>
      <w:r>
        <w:rPr>
          <w:rFonts w:hint="eastAsia" w:ascii="宋体" w:hAnsi="宋体"/>
          <w:spacing w:val="20"/>
          <w:sz w:val="24"/>
        </w:rPr>
        <w:t>采购项目：</w:t>
      </w:r>
    </w:p>
    <w:tbl>
      <w:tblPr>
        <w:tblStyle w:val="26"/>
        <w:tblW w:w="9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041"/>
        <w:gridCol w:w="996"/>
        <w:gridCol w:w="1281"/>
        <w:gridCol w:w="1281"/>
        <w:gridCol w:w="1935"/>
        <w:gridCol w:w="2419"/>
      </w:tblGrid>
      <w:tr w14:paraId="0DB88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12" w:type="dxa"/>
            <w:vAlign w:val="center"/>
          </w:tcPr>
          <w:p w14:paraId="10BAB60C">
            <w:pPr>
              <w:spacing w:line="360" w:lineRule="auto"/>
              <w:jc w:val="center"/>
              <w:rPr>
                <w:rFonts w:ascii="宋体" w:hAnsi="宋体"/>
                <w:sz w:val="24"/>
              </w:rPr>
            </w:pPr>
            <w:r>
              <w:rPr>
                <w:rFonts w:hint="eastAsia" w:ascii="宋体" w:hAnsi="宋体"/>
                <w:sz w:val="24"/>
              </w:rPr>
              <w:t>序号</w:t>
            </w:r>
          </w:p>
        </w:tc>
        <w:tc>
          <w:tcPr>
            <w:tcW w:w="1041" w:type="dxa"/>
            <w:vAlign w:val="center"/>
          </w:tcPr>
          <w:p w14:paraId="093C9EE0">
            <w:pPr>
              <w:spacing w:line="360" w:lineRule="auto"/>
              <w:jc w:val="center"/>
              <w:rPr>
                <w:rFonts w:ascii="宋体" w:hAnsi="宋体"/>
                <w:sz w:val="24"/>
              </w:rPr>
            </w:pPr>
            <w:r>
              <w:rPr>
                <w:rFonts w:hint="eastAsia" w:ascii="宋体" w:hAnsi="宋体"/>
                <w:sz w:val="24"/>
              </w:rPr>
              <w:t>姓  名</w:t>
            </w:r>
          </w:p>
        </w:tc>
        <w:tc>
          <w:tcPr>
            <w:tcW w:w="996" w:type="dxa"/>
            <w:vAlign w:val="center"/>
          </w:tcPr>
          <w:p w14:paraId="37657104">
            <w:pPr>
              <w:spacing w:line="360" w:lineRule="auto"/>
              <w:jc w:val="center"/>
              <w:rPr>
                <w:rFonts w:ascii="宋体" w:hAnsi="宋体"/>
                <w:sz w:val="24"/>
              </w:rPr>
            </w:pPr>
            <w:r>
              <w:rPr>
                <w:rFonts w:hint="eastAsia" w:ascii="宋体" w:hAnsi="宋体"/>
                <w:sz w:val="24"/>
              </w:rPr>
              <w:t>性  别</w:t>
            </w:r>
          </w:p>
        </w:tc>
        <w:tc>
          <w:tcPr>
            <w:tcW w:w="1281" w:type="dxa"/>
            <w:vAlign w:val="center"/>
          </w:tcPr>
          <w:p w14:paraId="2964C3BE">
            <w:pPr>
              <w:spacing w:line="360" w:lineRule="auto"/>
              <w:jc w:val="center"/>
              <w:rPr>
                <w:rFonts w:ascii="宋体" w:hAnsi="宋体"/>
                <w:sz w:val="24"/>
              </w:rPr>
            </w:pPr>
            <w:r>
              <w:rPr>
                <w:rFonts w:hint="eastAsia" w:ascii="宋体" w:hAnsi="宋体"/>
                <w:sz w:val="24"/>
              </w:rPr>
              <w:t>职称、职务、工种</w:t>
            </w:r>
          </w:p>
        </w:tc>
        <w:tc>
          <w:tcPr>
            <w:tcW w:w="1281" w:type="dxa"/>
            <w:vAlign w:val="center"/>
          </w:tcPr>
          <w:p w14:paraId="699D58E5">
            <w:pPr>
              <w:spacing w:line="360" w:lineRule="auto"/>
              <w:jc w:val="center"/>
              <w:rPr>
                <w:rFonts w:ascii="宋体" w:hAnsi="宋体"/>
                <w:sz w:val="24"/>
              </w:rPr>
            </w:pPr>
            <w:r>
              <w:rPr>
                <w:rFonts w:hint="eastAsia" w:ascii="宋体" w:hAnsi="宋体"/>
                <w:sz w:val="24"/>
              </w:rPr>
              <w:t>现场承担工作</w:t>
            </w:r>
          </w:p>
        </w:tc>
        <w:tc>
          <w:tcPr>
            <w:tcW w:w="1935" w:type="dxa"/>
            <w:vAlign w:val="center"/>
          </w:tcPr>
          <w:p w14:paraId="0F3E9E27">
            <w:pPr>
              <w:spacing w:line="360" w:lineRule="auto"/>
              <w:jc w:val="center"/>
              <w:rPr>
                <w:rFonts w:ascii="宋体" w:hAnsi="宋体"/>
                <w:sz w:val="24"/>
              </w:rPr>
            </w:pPr>
            <w:r>
              <w:rPr>
                <w:rFonts w:hint="eastAsia" w:ascii="宋体" w:hAnsi="宋体"/>
                <w:sz w:val="24"/>
              </w:rPr>
              <w:t>资格证书（附复印件）</w:t>
            </w:r>
          </w:p>
        </w:tc>
        <w:tc>
          <w:tcPr>
            <w:tcW w:w="2419" w:type="dxa"/>
            <w:vAlign w:val="center"/>
          </w:tcPr>
          <w:p w14:paraId="526F4073">
            <w:pPr>
              <w:spacing w:line="360" w:lineRule="auto"/>
              <w:jc w:val="center"/>
              <w:rPr>
                <w:rFonts w:ascii="宋体" w:hAnsi="宋体"/>
                <w:sz w:val="24"/>
              </w:rPr>
            </w:pPr>
            <w:r>
              <w:rPr>
                <w:rFonts w:hint="eastAsia" w:ascii="宋体" w:hAnsi="宋体"/>
                <w:sz w:val="24"/>
              </w:rPr>
              <w:t>资历及近期承担主要工作情况</w:t>
            </w:r>
          </w:p>
        </w:tc>
      </w:tr>
      <w:tr w14:paraId="7272C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612" w:type="dxa"/>
            <w:vAlign w:val="center"/>
          </w:tcPr>
          <w:p w14:paraId="2AF0BC67">
            <w:pPr>
              <w:spacing w:line="360" w:lineRule="auto"/>
              <w:jc w:val="center"/>
              <w:rPr>
                <w:rFonts w:ascii="宋体" w:hAnsi="宋体"/>
                <w:sz w:val="24"/>
              </w:rPr>
            </w:pPr>
            <w:r>
              <w:rPr>
                <w:rFonts w:hint="eastAsia" w:ascii="宋体" w:hAnsi="宋体"/>
                <w:sz w:val="24"/>
              </w:rPr>
              <w:t>1</w:t>
            </w:r>
          </w:p>
        </w:tc>
        <w:tc>
          <w:tcPr>
            <w:tcW w:w="1041" w:type="dxa"/>
            <w:vAlign w:val="center"/>
          </w:tcPr>
          <w:p w14:paraId="0FE71D15">
            <w:pPr>
              <w:spacing w:line="360" w:lineRule="auto"/>
              <w:rPr>
                <w:rFonts w:ascii="宋体" w:hAnsi="宋体"/>
                <w:sz w:val="24"/>
              </w:rPr>
            </w:pPr>
          </w:p>
        </w:tc>
        <w:tc>
          <w:tcPr>
            <w:tcW w:w="996" w:type="dxa"/>
            <w:vAlign w:val="center"/>
          </w:tcPr>
          <w:p w14:paraId="0B06682D">
            <w:pPr>
              <w:spacing w:line="360" w:lineRule="auto"/>
              <w:rPr>
                <w:rFonts w:ascii="宋体" w:hAnsi="宋体"/>
                <w:sz w:val="24"/>
              </w:rPr>
            </w:pPr>
          </w:p>
        </w:tc>
        <w:tc>
          <w:tcPr>
            <w:tcW w:w="1281" w:type="dxa"/>
            <w:vAlign w:val="center"/>
          </w:tcPr>
          <w:p w14:paraId="77A4BF1B">
            <w:pPr>
              <w:spacing w:line="360" w:lineRule="auto"/>
              <w:rPr>
                <w:rFonts w:ascii="宋体" w:hAnsi="宋体"/>
                <w:sz w:val="24"/>
              </w:rPr>
            </w:pPr>
          </w:p>
        </w:tc>
        <w:tc>
          <w:tcPr>
            <w:tcW w:w="1281" w:type="dxa"/>
            <w:vAlign w:val="center"/>
          </w:tcPr>
          <w:p w14:paraId="032A28EA">
            <w:pPr>
              <w:spacing w:line="360" w:lineRule="auto"/>
              <w:rPr>
                <w:rFonts w:ascii="宋体" w:hAnsi="宋体"/>
                <w:sz w:val="24"/>
              </w:rPr>
            </w:pPr>
          </w:p>
        </w:tc>
        <w:tc>
          <w:tcPr>
            <w:tcW w:w="1935" w:type="dxa"/>
            <w:vAlign w:val="center"/>
          </w:tcPr>
          <w:p w14:paraId="411BAFD4">
            <w:pPr>
              <w:spacing w:line="360" w:lineRule="auto"/>
              <w:rPr>
                <w:rFonts w:ascii="宋体" w:hAnsi="宋体"/>
                <w:sz w:val="24"/>
              </w:rPr>
            </w:pPr>
          </w:p>
        </w:tc>
        <w:tc>
          <w:tcPr>
            <w:tcW w:w="2419" w:type="dxa"/>
            <w:vAlign w:val="center"/>
          </w:tcPr>
          <w:p w14:paraId="5389D940">
            <w:pPr>
              <w:spacing w:line="360" w:lineRule="auto"/>
              <w:rPr>
                <w:rFonts w:ascii="宋体" w:hAnsi="宋体"/>
                <w:sz w:val="24"/>
              </w:rPr>
            </w:pPr>
          </w:p>
        </w:tc>
      </w:tr>
      <w:tr w14:paraId="58F48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6" w:hRule="atLeast"/>
          <w:jc w:val="center"/>
        </w:trPr>
        <w:tc>
          <w:tcPr>
            <w:tcW w:w="612" w:type="dxa"/>
            <w:vAlign w:val="center"/>
          </w:tcPr>
          <w:p w14:paraId="62B57FE3">
            <w:pPr>
              <w:spacing w:line="360" w:lineRule="auto"/>
              <w:jc w:val="center"/>
              <w:rPr>
                <w:rFonts w:ascii="宋体" w:hAnsi="宋体"/>
                <w:sz w:val="24"/>
              </w:rPr>
            </w:pPr>
            <w:r>
              <w:rPr>
                <w:rFonts w:hint="eastAsia" w:ascii="宋体" w:hAnsi="宋体"/>
                <w:sz w:val="24"/>
              </w:rPr>
              <w:t>2</w:t>
            </w:r>
          </w:p>
        </w:tc>
        <w:tc>
          <w:tcPr>
            <w:tcW w:w="1041" w:type="dxa"/>
            <w:vAlign w:val="center"/>
          </w:tcPr>
          <w:p w14:paraId="596911CF">
            <w:pPr>
              <w:spacing w:line="360" w:lineRule="auto"/>
              <w:rPr>
                <w:rFonts w:ascii="宋体" w:hAnsi="宋体"/>
                <w:sz w:val="24"/>
              </w:rPr>
            </w:pPr>
          </w:p>
        </w:tc>
        <w:tc>
          <w:tcPr>
            <w:tcW w:w="996" w:type="dxa"/>
            <w:vAlign w:val="center"/>
          </w:tcPr>
          <w:p w14:paraId="0D057043">
            <w:pPr>
              <w:spacing w:line="360" w:lineRule="auto"/>
              <w:rPr>
                <w:rFonts w:ascii="宋体" w:hAnsi="宋体"/>
                <w:sz w:val="24"/>
              </w:rPr>
            </w:pPr>
          </w:p>
        </w:tc>
        <w:tc>
          <w:tcPr>
            <w:tcW w:w="1281" w:type="dxa"/>
            <w:vAlign w:val="center"/>
          </w:tcPr>
          <w:p w14:paraId="4B8F00AB">
            <w:pPr>
              <w:spacing w:line="360" w:lineRule="auto"/>
              <w:rPr>
                <w:rFonts w:ascii="宋体" w:hAnsi="宋体"/>
                <w:sz w:val="24"/>
              </w:rPr>
            </w:pPr>
          </w:p>
        </w:tc>
        <w:tc>
          <w:tcPr>
            <w:tcW w:w="1281" w:type="dxa"/>
            <w:vAlign w:val="center"/>
          </w:tcPr>
          <w:p w14:paraId="1DAC4D44">
            <w:pPr>
              <w:spacing w:line="360" w:lineRule="auto"/>
              <w:rPr>
                <w:rFonts w:ascii="宋体" w:hAnsi="宋体"/>
                <w:sz w:val="24"/>
              </w:rPr>
            </w:pPr>
          </w:p>
        </w:tc>
        <w:tc>
          <w:tcPr>
            <w:tcW w:w="1935" w:type="dxa"/>
            <w:vAlign w:val="center"/>
          </w:tcPr>
          <w:p w14:paraId="4717C3F0">
            <w:pPr>
              <w:spacing w:line="360" w:lineRule="auto"/>
              <w:rPr>
                <w:rFonts w:ascii="宋体" w:hAnsi="宋体"/>
                <w:sz w:val="24"/>
              </w:rPr>
            </w:pPr>
          </w:p>
        </w:tc>
        <w:tc>
          <w:tcPr>
            <w:tcW w:w="2419" w:type="dxa"/>
            <w:vAlign w:val="center"/>
          </w:tcPr>
          <w:p w14:paraId="508AF301">
            <w:pPr>
              <w:spacing w:line="360" w:lineRule="auto"/>
              <w:rPr>
                <w:rFonts w:ascii="宋体" w:hAnsi="宋体"/>
                <w:sz w:val="24"/>
              </w:rPr>
            </w:pPr>
          </w:p>
        </w:tc>
      </w:tr>
      <w:tr w14:paraId="1416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8" w:hRule="atLeast"/>
          <w:jc w:val="center"/>
        </w:trPr>
        <w:tc>
          <w:tcPr>
            <w:tcW w:w="612" w:type="dxa"/>
            <w:vAlign w:val="center"/>
          </w:tcPr>
          <w:p w14:paraId="0C78883F">
            <w:pPr>
              <w:spacing w:line="360" w:lineRule="auto"/>
              <w:jc w:val="center"/>
              <w:rPr>
                <w:rFonts w:ascii="宋体" w:hAnsi="宋体"/>
                <w:sz w:val="24"/>
              </w:rPr>
            </w:pPr>
            <w:r>
              <w:rPr>
                <w:rFonts w:hint="eastAsia" w:ascii="宋体" w:hAnsi="宋体"/>
                <w:sz w:val="24"/>
              </w:rPr>
              <w:t>3</w:t>
            </w:r>
          </w:p>
        </w:tc>
        <w:tc>
          <w:tcPr>
            <w:tcW w:w="1041" w:type="dxa"/>
            <w:vAlign w:val="center"/>
          </w:tcPr>
          <w:p w14:paraId="366A361C">
            <w:pPr>
              <w:spacing w:line="360" w:lineRule="auto"/>
              <w:rPr>
                <w:rFonts w:ascii="宋体" w:hAnsi="宋体"/>
                <w:sz w:val="24"/>
              </w:rPr>
            </w:pPr>
          </w:p>
        </w:tc>
        <w:tc>
          <w:tcPr>
            <w:tcW w:w="996" w:type="dxa"/>
            <w:vAlign w:val="center"/>
          </w:tcPr>
          <w:p w14:paraId="571F2BDB">
            <w:pPr>
              <w:spacing w:line="360" w:lineRule="auto"/>
              <w:rPr>
                <w:rFonts w:ascii="宋体" w:hAnsi="宋体"/>
                <w:sz w:val="24"/>
              </w:rPr>
            </w:pPr>
          </w:p>
        </w:tc>
        <w:tc>
          <w:tcPr>
            <w:tcW w:w="1281" w:type="dxa"/>
            <w:vAlign w:val="center"/>
          </w:tcPr>
          <w:p w14:paraId="4D930F99">
            <w:pPr>
              <w:spacing w:line="360" w:lineRule="auto"/>
              <w:rPr>
                <w:rFonts w:ascii="宋体" w:hAnsi="宋体"/>
                <w:sz w:val="24"/>
              </w:rPr>
            </w:pPr>
          </w:p>
        </w:tc>
        <w:tc>
          <w:tcPr>
            <w:tcW w:w="1281" w:type="dxa"/>
            <w:vAlign w:val="center"/>
          </w:tcPr>
          <w:p w14:paraId="71096CAD">
            <w:pPr>
              <w:spacing w:line="360" w:lineRule="auto"/>
              <w:rPr>
                <w:rFonts w:ascii="宋体" w:hAnsi="宋体"/>
                <w:sz w:val="24"/>
              </w:rPr>
            </w:pPr>
          </w:p>
        </w:tc>
        <w:tc>
          <w:tcPr>
            <w:tcW w:w="1935" w:type="dxa"/>
            <w:vAlign w:val="center"/>
          </w:tcPr>
          <w:p w14:paraId="74808A3F">
            <w:pPr>
              <w:spacing w:line="360" w:lineRule="auto"/>
              <w:rPr>
                <w:rFonts w:ascii="宋体" w:hAnsi="宋体"/>
                <w:sz w:val="24"/>
              </w:rPr>
            </w:pPr>
          </w:p>
        </w:tc>
        <w:tc>
          <w:tcPr>
            <w:tcW w:w="2419" w:type="dxa"/>
            <w:vAlign w:val="center"/>
          </w:tcPr>
          <w:p w14:paraId="551C063C">
            <w:pPr>
              <w:spacing w:line="360" w:lineRule="auto"/>
              <w:rPr>
                <w:rFonts w:ascii="宋体" w:hAnsi="宋体"/>
                <w:sz w:val="24"/>
              </w:rPr>
            </w:pPr>
          </w:p>
        </w:tc>
      </w:tr>
      <w:tr w14:paraId="6C7D2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9" w:hRule="atLeast"/>
          <w:jc w:val="center"/>
        </w:trPr>
        <w:tc>
          <w:tcPr>
            <w:tcW w:w="612" w:type="dxa"/>
            <w:vAlign w:val="center"/>
          </w:tcPr>
          <w:p w14:paraId="715D654E">
            <w:pPr>
              <w:spacing w:line="360" w:lineRule="auto"/>
              <w:jc w:val="center"/>
              <w:rPr>
                <w:rFonts w:ascii="宋体" w:hAnsi="宋体"/>
                <w:sz w:val="24"/>
              </w:rPr>
            </w:pPr>
            <w:r>
              <w:rPr>
                <w:rFonts w:hint="eastAsia" w:ascii="宋体" w:hAnsi="宋体"/>
                <w:sz w:val="24"/>
              </w:rPr>
              <w:t>…</w:t>
            </w:r>
          </w:p>
        </w:tc>
        <w:tc>
          <w:tcPr>
            <w:tcW w:w="1041" w:type="dxa"/>
            <w:vAlign w:val="center"/>
          </w:tcPr>
          <w:p w14:paraId="7B9E5EE0">
            <w:pPr>
              <w:spacing w:line="360" w:lineRule="auto"/>
              <w:rPr>
                <w:rFonts w:ascii="宋体" w:hAnsi="宋体"/>
                <w:sz w:val="24"/>
              </w:rPr>
            </w:pPr>
          </w:p>
        </w:tc>
        <w:tc>
          <w:tcPr>
            <w:tcW w:w="996" w:type="dxa"/>
            <w:vAlign w:val="center"/>
          </w:tcPr>
          <w:p w14:paraId="29C70EB5">
            <w:pPr>
              <w:spacing w:line="360" w:lineRule="auto"/>
              <w:rPr>
                <w:rFonts w:ascii="宋体" w:hAnsi="宋体"/>
                <w:sz w:val="24"/>
              </w:rPr>
            </w:pPr>
          </w:p>
        </w:tc>
        <w:tc>
          <w:tcPr>
            <w:tcW w:w="1281" w:type="dxa"/>
            <w:vAlign w:val="center"/>
          </w:tcPr>
          <w:p w14:paraId="12B62122">
            <w:pPr>
              <w:spacing w:line="360" w:lineRule="auto"/>
              <w:rPr>
                <w:rFonts w:ascii="宋体" w:hAnsi="宋体"/>
                <w:sz w:val="24"/>
              </w:rPr>
            </w:pPr>
          </w:p>
        </w:tc>
        <w:tc>
          <w:tcPr>
            <w:tcW w:w="1281" w:type="dxa"/>
            <w:vAlign w:val="center"/>
          </w:tcPr>
          <w:p w14:paraId="5914C314">
            <w:pPr>
              <w:spacing w:line="360" w:lineRule="auto"/>
              <w:rPr>
                <w:rFonts w:ascii="宋体" w:hAnsi="宋体"/>
                <w:sz w:val="24"/>
              </w:rPr>
            </w:pPr>
          </w:p>
        </w:tc>
        <w:tc>
          <w:tcPr>
            <w:tcW w:w="1935" w:type="dxa"/>
            <w:vAlign w:val="center"/>
          </w:tcPr>
          <w:p w14:paraId="5436B3AC">
            <w:pPr>
              <w:spacing w:line="360" w:lineRule="auto"/>
              <w:rPr>
                <w:rFonts w:ascii="宋体" w:hAnsi="宋体"/>
                <w:sz w:val="24"/>
              </w:rPr>
            </w:pPr>
          </w:p>
        </w:tc>
        <w:tc>
          <w:tcPr>
            <w:tcW w:w="2419" w:type="dxa"/>
            <w:vAlign w:val="center"/>
          </w:tcPr>
          <w:p w14:paraId="6B573209">
            <w:pPr>
              <w:spacing w:line="360" w:lineRule="auto"/>
              <w:rPr>
                <w:rFonts w:ascii="宋体" w:hAnsi="宋体"/>
                <w:sz w:val="24"/>
              </w:rPr>
            </w:pPr>
          </w:p>
        </w:tc>
      </w:tr>
    </w:tbl>
    <w:p w14:paraId="41E14293">
      <w:pPr>
        <w:pStyle w:val="15"/>
        <w:spacing w:line="360" w:lineRule="auto"/>
        <w:rPr>
          <w:rFonts w:hAnsi="宋体"/>
          <w:spacing w:val="20"/>
          <w:sz w:val="24"/>
        </w:rPr>
      </w:pPr>
      <w:r>
        <w:rPr>
          <w:rFonts w:hint="eastAsia" w:hAnsi="宋体"/>
          <w:spacing w:val="20"/>
          <w:sz w:val="24"/>
        </w:rPr>
        <w:t>注：</w:t>
      </w:r>
    </w:p>
    <w:p w14:paraId="3BD5763B">
      <w:pPr>
        <w:pStyle w:val="15"/>
        <w:spacing w:before="120" w:after="120" w:line="360" w:lineRule="auto"/>
        <w:rPr>
          <w:rFonts w:hAnsi="宋体"/>
          <w:sz w:val="30"/>
        </w:rPr>
      </w:pPr>
      <w:r>
        <w:rPr>
          <w:rFonts w:hint="eastAsia" w:hAnsi="宋体"/>
          <w:spacing w:val="20"/>
          <w:sz w:val="24"/>
        </w:rPr>
        <w:t>1、若成交，以上列入的所有人员将成为本项目驻点成员，若要更换人员的必须经采购人同意，擅自更换或配备不到位均属违约行为。</w:t>
      </w:r>
    </w:p>
    <w:p w14:paraId="123C4D13">
      <w:pPr>
        <w:spacing w:line="360" w:lineRule="auto"/>
        <w:jc w:val="center"/>
        <w:rPr>
          <w:rFonts w:ascii="宋体" w:hAnsi="宋体"/>
          <w:sz w:val="32"/>
        </w:rPr>
      </w:pPr>
      <w:r>
        <w:rPr>
          <w:rFonts w:ascii="宋体" w:hAnsi="宋体"/>
          <w:sz w:val="32"/>
        </w:rPr>
        <w:br w:type="page"/>
      </w:r>
    </w:p>
    <w:p w14:paraId="2B5DA17E">
      <w:pPr>
        <w:pStyle w:val="15"/>
        <w:spacing w:line="440" w:lineRule="exact"/>
        <w:jc w:val="center"/>
        <w:rPr>
          <w:rFonts w:hAnsi="宋体"/>
          <w:sz w:val="32"/>
          <w:szCs w:val="24"/>
        </w:rPr>
      </w:pPr>
      <w:r>
        <w:rPr>
          <w:rFonts w:hint="eastAsia" w:hAnsi="宋体"/>
          <w:sz w:val="32"/>
          <w:szCs w:val="24"/>
        </w:rPr>
        <w:t>3、</w:t>
      </w:r>
      <w:r>
        <w:rPr>
          <w:rFonts w:hint="eastAsia" w:hAnsi="宋体"/>
          <w:sz w:val="32"/>
        </w:rPr>
        <w:t>运维服务质量承诺</w:t>
      </w:r>
    </w:p>
    <w:p w14:paraId="2F8BFCD9">
      <w:pPr>
        <w:tabs>
          <w:tab w:val="left" w:pos="2355"/>
          <w:tab w:val="center" w:pos="4513"/>
        </w:tabs>
        <w:spacing w:line="360" w:lineRule="auto"/>
        <w:jc w:val="center"/>
        <w:rPr>
          <w:rFonts w:ascii="宋体" w:hAnsi="宋体"/>
          <w:spacing w:val="20"/>
          <w:sz w:val="24"/>
          <w:u w:val="single"/>
        </w:rPr>
      </w:pPr>
    </w:p>
    <w:p w14:paraId="2FF14FE6">
      <w:pPr>
        <w:tabs>
          <w:tab w:val="left" w:pos="2355"/>
          <w:tab w:val="center" w:pos="4513"/>
        </w:tabs>
        <w:spacing w:line="360" w:lineRule="auto"/>
        <w:jc w:val="center"/>
        <w:rPr>
          <w:rFonts w:ascii="宋体" w:hAnsi="宋体"/>
          <w:spacing w:val="20"/>
          <w:sz w:val="24"/>
          <w:u w:val="single"/>
        </w:rPr>
      </w:pPr>
    </w:p>
    <w:p w14:paraId="5C67488B">
      <w:pPr>
        <w:tabs>
          <w:tab w:val="left" w:pos="2355"/>
          <w:tab w:val="center" w:pos="4513"/>
        </w:tabs>
        <w:spacing w:line="360" w:lineRule="auto"/>
        <w:jc w:val="center"/>
        <w:rPr>
          <w:rFonts w:ascii="宋体" w:hAnsi="宋体"/>
          <w:spacing w:val="20"/>
          <w:sz w:val="24"/>
          <w:u w:val="single"/>
        </w:rPr>
      </w:pPr>
    </w:p>
    <w:p w14:paraId="587141A5">
      <w:pPr>
        <w:tabs>
          <w:tab w:val="left" w:pos="2355"/>
          <w:tab w:val="center" w:pos="4513"/>
        </w:tabs>
        <w:spacing w:line="360" w:lineRule="auto"/>
        <w:jc w:val="center"/>
        <w:rPr>
          <w:rFonts w:ascii="宋体" w:hAnsi="宋体"/>
          <w:sz w:val="30"/>
          <w:szCs w:val="30"/>
        </w:rPr>
      </w:pPr>
    </w:p>
    <w:p w14:paraId="3802A034">
      <w:pPr>
        <w:tabs>
          <w:tab w:val="left" w:pos="2355"/>
          <w:tab w:val="center" w:pos="4513"/>
        </w:tabs>
        <w:spacing w:line="360" w:lineRule="auto"/>
        <w:jc w:val="center"/>
        <w:rPr>
          <w:rFonts w:ascii="宋体" w:hAnsi="宋体"/>
          <w:sz w:val="30"/>
          <w:szCs w:val="30"/>
        </w:rPr>
      </w:pPr>
      <w:r>
        <w:rPr>
          <w:rFonts w:hint="eastAsia" w:ascii="宋体" w:hAnsi="宋体"/>
          <w:sz w:val="30"/>
          <w:szCs w:val="30"/>
        </w:rPr>
        <w:t>4、</w:t>
      </w:r>
      <w:r>
        <w:rPr>
          <w:rFonts w:hint="eastAsia" w:ascii="宋体" w:hAnsi="宋体"/>
          <w:sz w:val="32"/>
        </w:rPr>
        <w:t>项目驻点人员培训计划</w:t>
      </w:r>
    </w:p>
    <w:p w14:paraId="1FAFC9D1">
      <w:pPr>
        <w:tabs>
          <w:tab w:val="left" w:pos="2355"/>
          <w:tab w:val="center" w:pos="4513"/>
        </w:tabs>
        <w:spacing w:line="360" w:lineRule="auto"/>
        <w:jc w:val="center"/>
        <w:rPr>
          <w:rFonts w:ascii="宋体" w:hAnsi="宋体"/>
          <w:sz w:val="30"/>
          <w:szCs w:val="30"/>
        </w:rPr>
      </w:pPr>
    </w:p>
    <w:p w14:paraId="2DAEA8F9">
      <w:pPr>
        <w:tabs>
          <w:tab w:val="left" w:pos="2355"/>
          <w:tab w:val="center" w:pos="4513"/>
        </w:tabs>
        <w:spacing w:line="360" w:lineRule="auto"/>
        <w:jc w:val="center"/>
        <w:rPr>
          <w:rFonts w:ascii="宋体" w:hAnsi="宋体"/>
          <w:sz w:val="30"/>
          <w:szCs w:val="30"/>
        </w:rPr>
      </w:pPr>
    </w:p>
    <w:p w14:paraId="11B66D66">
      <w:pPr>
        <w:tabs>
          <w:tab w:val="left" w:pos="2355"/>
          <w:tab w:val="center" w:pos="4513"/>
        </w:tabs>
        <w:spacing w:line="360" w:lineRule="auto"/>
        <w:jc w:val="center"/>
        <w:rPr>
          <w:rFonts w:ascii="宋体" w:hAnsi="宋体"/>
          <w:sz w:val="30"/>
          <w:szCs w:val="30"/>
        </w:rPr>
      </w:pPr>
    </w:p>
    <w:p w14:paraId="148FD81D">
      <w:pPr>
        <w:tabs>
          <w:tab w:val="left" w:pos="2355"/>
          <w:tab w:val="center" w:pos="4513"/>
        </w:tabs>
        <w:spacing w:line="360" w:lineRule="auto"/>
        <w:jc w:val="center"/>
        <w:rPr>
          <w:rFonts w:ascii="宋体" w:hAnsi="宋体"/>
          <w:sz w:val="30"/>
          <w:szCs w:val="30"/>
        </w:rPr>
      </w:pPr>
    </w:p>
    <w:p w14:paraId="4DB8BD5D">
      <w:pPr>
        <w:tabs>
          <w:tab w:val="left" w:pos="2355"/>
          <w:tab w:val="center" w:pos="4513"/>
        </w:tabs>
        <w:spacing w:line="360" w:lineRule="auto"/>
        <w:jc w:val="center"/>
        <w:rPr>
          <w:rFonts w:ascii="宋体" w:hAnsi="宋体"/>
          <w:spacing w:val="20"/>
          <w:sz w:val="24"/>
          <w:u w:val="single"/>
        </w:rPr>
      </w:pPr>
      <w:r>
        <w:rPr>
          <w:rFonts w:hint="eastAsia" w:ascii="宋体" w:hAnsi="宋体"/>
          <w:sz w:val="32"/>
        </w:rPr>
        <w:t>5、维保拟投入设备清单</w:t>
      </w:r>
    </w:p>
    <w:p w14:paraId="68E13728">
      <w:pPr>
        <w:rPr>
          <w:rFonts w:ascii="宋体" w:hAnsi="宋体"/>
          <w:sz w:val="24"/>
        </w:rPr>
      </w:pPr>
    </w:p>
    <w:p w14:paraId="78F2D8E5">
      <w:pPr>
        <w:rPr>
          <w:rFonts w:ascii="宋体" w:hAnsi="宋体"/>
          <w:sz w:val="24"/>
        </w:rPr>
      </w:pPr>
    </w:p>
    <w:p w14:paraId="38280921">
      <w:pPr>
        <w:rPr>
          <w:rFonts w:ascii="宋体" w:hAnsi="宋体"/>
          <w:sz w:val="24"/>
        </w:rPr>
      </w:pPr>
    </w:p>
    <w:p w14:paraId="07291D2A">
      <w:pPr>
        <w:rPr>
          <w:rFonts w:ascii="宋体" w:hAnsi="宋体"/>
          <w:sz w:val="24"/>
        </w:rPr>
      </w:pPr>
    </w:p>
    <w:p w14:paraId="74061BD9">
      <w:pPr>
        <w:rPr>
          <w:rFonts w:ascii="宋体" w:hAnsi="宋体"/>
          <w:sz w:val="24"/>
        </w:rPr>
      </w:pPr>
    </w:p>
    <w:p w14:paraId="214DD569">
      <w:pPr>
        <w:rPr>
          <w:rFonts w:ascii="宋体" w:hAnsi="宋体"/>
          <w:sz w:val="24"/>
        </w:rPr>
      </w:pPr>
    </w:p>
    <w:p w14:paraId="60E4AF0C">
      <w:pPr>
        <w:rPr>
          <w:rFonts w:ascii="宋体" w:hAnsi="宋体"/>
          <w:sz w:val="24"/>
        </w:rPr>
      </w:pPr>
    </w:p>
    <w:p w14:paraId="72532C90">
      <w:pPr>
        <w:rPr>
          <w:rFonts w:ascii="宋体" w:hAnsi="宋体"/>
          <w:sz w:val="24"/>
        </w:rPr>
      </w:pPr>
    </w:p>
    <w:p w14:paraId="3518D21F">
      <w:pPr>
        <w:rPr>
          <w:rFonts w:ascii="宋体" w:hAnsi="宋体"/>
          <w:spacing w:val="20"/>
          <w:sz w:val="24"/>
          <w:u w:val="single"/>
        </w:rPr>
      </w:pPr>
      <w:r>
        <w:rPr>
          <w:rFonts w:hint="eastAsia" w:ascii="宋体" w:hAnsi="宋体"/>
          <w:sz w:val="32"/>
        </w:rPr>
        <w:t>6、供应商认为需要提供的及评分办法要求提供的其他资料</w:t>
      </w:r>
    </w:p>
    <w:p w14:paraId="5E4840DB">
      <w:pPr>
        <w:tabs>
          <w:tab w:val="left" w:pos="2355"/>
          <w:tab w:val="center" w:pos="4513"/>
        </w:tabs>
        <w:spacing w:line="360" w:lineRule="auto"/>
        <w:jc w:val="left"/>
        <w:rPr>
          <w:rFonts w:ascii="宋体" w:hAnsi="宋体"/>
          <w:spacing w:val="20"/>
          <w:sz w:val="24"/>
          <w:u w:val="single"/>
        </w:rPr>
      </w:pPr>
    </w:p>
    <w:p w14:paraId="06C1DC66">
      <w:pPr>
        <w:tabs>
          <w:tab w:val="left" w:pos="2355"/>
          <w:tab w:val="center" w:pos="4513"/>
        </w:tabs>
        <w:spacing w:line="360" w:lineRule="auto"/>
        <w:jc w:val="left"/>
        <w:rPr>
          <w:rFonts w:ascii="宋体" w:hAnsi="宋体"/>
          <w:spacing w:val="20"/>
          <w:sz w:val="24"/>
          <w:u w:val="single"/>
        </w:rPr>
      </w:pPr>
    </w:p>
    <w:p w14:paraId="2CF469DD">
      <w:pPr>
        <w:tabs>
          <w:tab w:val="left" w:pos="2355"/>
          <w:tab w:val="center" w:pos="4513"/>
        </w:tabs>
        <w:spacing w:line="360" w:lineRule="auto"/>
        <w:jc w:val="left"/>
        <w:rPr>
          <w:rFonts w:ascii="宋体" w:hAnsi="宋体"/>
          <w:spacing w:val="20"/>
          <w:sz w:val="24"/>
          <w:u w:val="single"/>
        </w:rPr>
      </w:pPr>
    </w:p>
    <w:p w14:paraId="047DE49F">
      <w:pPr>
        <w:tabs>
          <w:tab w:val="left" w:pos="2355"/>
          <w:tab w:val="center" w:pos="4513"/>
        </w:tabs>
        <w:spacing w:line="360" w:lineRule="auto"/>
        <w:jc w:val="left"/>
        <w:rPr>
          <w:rFonts w:ascii="宋体" w:hAnsi="宋体"/>
          <w:spacing w:val="20"/>
          <w:sz w:val="24"/>
          <w:u w:val="single"/>
        </w:rPr>
      </w:pPr>
    </w:p>
    <w:p w14:paraId="31AB0D27">
      <w:pPr>
        <w:tabs>
          <w:tab w:val="left" w:pos="2355"/>
          <w:tab w:val="center" w:pos="4513"/>
        </w:tabs>
        <w:spacing w:line="360" w:lineRule="auto"/>
        <w:jc w:val="left"/>
        <w:rPr>
          <w:rFonts w:ascii="宋体" w:hAnsi="宋体"/>
          <w:spacing w:val="20"/>
          <w:sz w:val="24"/>
          <w:u w:val="single"/>
        </w:rPr>
      </w:pPr>
    </w:p>
    <w:p w14:paraId="0155E4AC">
      <w:pPr>
        <w:tabs>
          <w:tab w:val="left" w:pos="2355"/>
          <w:tab w:val="center" w:pos="4513"/>
        </w:tabs>
        <w:spacing w:line="360" w:lineRule="auto"/>
        <w:jc w:val="left"/>
        <w:rPr>
          <w:rFonts w:ascii="宋体" w:hAnsi="宋体"/>
          <w:spacing w:val="20"/>
          <w:sz w:val="24"/>
          <w:u w:val="single"/>
        </w:rPr>
      </w:pPr>
    </w:p>
    <w:p w14:paraId="6DE40908">
      <w:pPr>
        <w:tabs>
          <w:tab w:val="left" w:pos="2355"/>
          <w:tab w:val="center" w:pos="4513"/>
        </w:tabs>
        <w:spacing w:line="360" w:lineRule="auto"/>
        <w:jc w:val="left"/>
        <w:rPr>
          <w:rFonts w:ascii="宋体" w:hAnsi="宋体"/>
          <w:spacing w:val="20"/>
          <w:sz w:val="24"/>
          <w:u w:val="single"/>
        </w:rPr>
      </w:pPr>
    </w:p>
    <w:p w14:paraId="6C98847B">
      <w:pPr>
        <w:tabs>
          <w:tab w:val="left" w:pos="2355"/>
          <w:tab w:val="center" w:pos="4513"/>
        </w:tabs>
        <w:spacing w:line="360" w:lineRule="auto"/>
        <w:jc w:val="left"/>
        <w:rPr>
          <w:rFonts w:ascii="宋体" w:hAnsi="宋体"/>
          <w:spacing w:val="20"/>
          <w:sz w:val="24"/>
          <w:u w:val="single"/>
        </w:rPr>
      </w:pPr>
    </w:p>
    <w:p w14:paraId="59D24D11">
      <w:pPr>
        <w:tabs>
          <w:tab w:val="left" w:pos="2355"/>
          <w:tab w:val="center" w:pos="4513"/>
        </w:tabs>
        <w:spacing w:line="360" w:lineRule="auto"/>
        <w:jc w:val="left"/>
        <w:rPr>
          <w:rFonts w:ascii="宋体" w:hAnsi="宋体"/>
          <w:spacing w:val="20"/>
          <w:sz w:val="24"/>
          <w:u w:val="single"/>
        </w:rPr>
      </w:pPr>
    </w:p>
    <w:p w14:paraId="26C38279">
      <w:pPr>
        <w:tabs>
          <w:tab w:val="left" w:pos="2355"/>
          <w:tab w:val="center" w:pos="4513"/>
        </w:tabs>
        <w:spacing w:line="360" w:lineRule="auto"/>
        <w:jc w:val="left"/>
        <w:rPr>
          <w:rFonts w:ascii="宋体" w:hAnsi="宋体"/>
          <w:spacing w:val="20"/>
          <w:sz w:val="24"/>
          <w:u w:val="single"/>
        </w:rPr>
      </w:pPr>
    </w:p>
    <w:p w14:paraId="28B9B1CE">
      <w:pPr>
        <w:tabs>
          <w:tab w:val="left" w:pos="2355"/>
          <w:tab w:val="center" w:pos="4513"/>
        </w:tabs>
        <w:spacing w:line="360" w:lineRule="auto"/>
        <w:jc w:val="left"/>
        <w:rPr>
          <w:rFonts w:ascii="宋体" w:hAnsi="宋体"/>
          <w:spacing w:val="20"/>
          <w:sz w:val="24"/>
          <w:u w:val="single"/>
        </w:rPr>
      </w:pPr>
    </w:p>
    <w:p w14:paraId="384B42F5">
      <w:pPr>
        <w:pStyle w:val="4"/>
        <w:tabs>
          <w:tab w:val="left" w:pos="3405"/>
        </w:tabs>
        <w:ind w:firstLine="321" w:firstLineChars="100"/>
        <w:jc w:val="center"/>
        <w:rPr>
          <w:rFonts w:ascii="宋体" w:hAnsi="宋体" w:eastAsia="宋体"/>
          <w:sz w:val="32"/>
        </w:rPr>
      </w:pPr>
      <w:bookmarkStart w:id="50" w:name="_Toc112339169"/>
      <w:r>
        <w:rPr>
          <w:rFonts w:hint="eastAsia" w:ascii="宋体" w:hAnsi="宋体" w:eastAsia="宋体"/>
          <w:sz w:val="32"/>
        </w:rPr>
        <w:t>三  报价文件格式</w:t>
      </w:r>
      <w:bookmarkEnd w:id="50"/>
    </w:p>
    <w:p w14:paraId="3E77DE2C">
      <w:pPr>
        <w:pStyle w:val="4"/>
        <w:tabs>
          <w:tab w:val="left" w:pos="3405"/>
        </w:tabs>
        <w:ind w:firstLine="301" w:firstLineChars="100"/>
        <w:jc w:val="center"/>
        <w:rPr>
          <w:rFonts w:ascii="宋体" w:hAnsi="宋体" w:eastAsia="宋体"/>
          <w:b w:val="0"/>
        </w:rPr>
      </w:pPr>
      <w:r>
        <w:rPr>
          <w:rFonts w:ascii="宋体" w:hAnsi="宋体" w:eastAsia="宋体"/>
        </w:rPr>
        <w:br w:type="page"/>
      </w:r>
    </w:p>
    <w:p w14:paraId="3BBCB0CF">
      <w:pPr>
        <w:spacing w:line="360" w:lineRule="auto"/>
        <w:jc w:val="center"/>
        <w:rPr>
          <w:rFonts w:ascii="宋体" w:hAnsi="宋体"/>
          <w:b/>
          <w:sz w:val="32"/>
        </w:rPr>
      </w:pPr>
      <w:r>
        <w:rPr>
          <w:rFonts w:hint="eastAsia" w:ascii="宋体" w:hAnsi="宋体"/>
          <w:b/>
          <w:sz w:val="32"/>
        </w:rPr>
        <w:t>报价文件封面</w:t>
      </w:r>
    </w:p>
    <w:p w14:paraId="4B36C1FE">
      <w:pPr>
        <w:pStyle w:val="5"/>
        <w:spacing w:line="360" w:lineRule="auto"/>
        <w:ind w:firstLine="900" w:firstLineChars="250"/>
        <w:rPr>
          <w:rFonts w:ascii="宋体" w:hAnsi="宋体"/>
          <w:sz w:val="36"/>
        </w:rPr>
      </w:pPr>
    </w:p>
    <w:p w14:paraId="6B384C4E">
      <w:pPr>
        <w:pStyle w:val="5"/>
        <w:spacing w:line="360" w:lineRule="auto"/>
        <w:ind w:firstLine="0"/>
        <w:rPr>
          <w:rFonts w:ascii="宋体" w:hAnsi="宋体"/>
          <w:sz w:val="36"/>
        </w:rPr>
      </w:pPr>
    </w:p>
    <w:p w14:paraId="77CEA943">
      <w:pPr>
        <w:pStyle w:val="5"/>
        <w:spacing w:line="360" w:lineRule="auto"/>
        <w:ind w:firstLine="0"/>
        <w:rPr>
          <w:rFonts w:ascii="宋体" w:hAnsi="宋体"/>
          <w:sz w:val="36"/>
        </w:rPr>
      </w:pPr>
    </w:p>
    <w:p w14:paraId="5ABFEE9A">
      <w:pPr>
        <w:pStyle w:val="5"/>
        <w:spacing w:line="360" w:lineRule="auto"/>
        <w:ind w:firstLine="900" w:firstLineChars="250"/>
        <w:rPr>
          <w:rFonts w:ascii="宋体" w:hAnsi="宋体"/>
          <w:sz w:val="36"/>
        </w:rPr>
      </w:pPr>
      <w:r>
        <w:rPr>
          <w:rFonts w:ascii="宋体" w:hAnsi="宋体"/>
          <w:sz w:val="36"/>
        </w:rPr>
        <w:t>项目名称：</w:t>
      </w:r>
    </w:p>
    <w:p w14:paraId="637CDA73">
      <w:pPr>
        <w:pStyle w:val="5"/>
        <w:spacing w:line="360" w:lineRule="auto"/>
        <w:ind w:firstLine="0"/>
        <w:rPr>
          <w:rFonts w:ascii="宋体" w:hAnsi="宋体"/>
          <w:sz w:val="36"/>
        </w:rPr>
      </w:pPr>
    </w:p>
    <w:p w14:paraId="46F8E407">
      <w:pPr>
        <w:pStyle w:val="5"/>
        <w:spacing w:line="360" w:lineRule="auto"/>
        <w:ind w:firstLine="0"/>
        <w:rPr>
          <w:rFonts w:ascii="宋体" w:hAnsi="宋体"/>
          <w:sz w:val="36"/>
        </w:rPr>
      </w:pPr>
    </w:p>
    <w:p w14:paraId="017FAED9">
      <w:pPr>
        <w:pStyle w:val="5"/>
        <w:spacing w:line="360" w:lineRule="auto"/>
        <w:ind w:firstLine="900" w:firstLineChars="250"/>
        <w:rPr>
          <w:rFonts w:ascii="宋体" w:hAnsi="宋体"/>
          <w:sz w:val="36"/>
        </w:rPr>
      </w:pPr>
      <w:r>
        <w:rPr>
          <w:rFonts w:hint="eastAsia" w:ascii="宋体" w:hAnsi="宋体"/>
          <w:sz w:val="36"/>
        </w:rPr>
        <w:t>响应</w:t>
      </w:r>
      <w:r>
        <w:rPr>
          <w:rFonts w:ascii="宋体" w:hAnsi="宋体"/>
          <w:sz w:val="36"/>
        </w:rPr>
        <w:t>文件名称：</w:t>
      </w:r>
      <w:r>
        <w:rPr>
          <w:rFonts w:hint="eastAsia" w:ascii="宋体" w:hAnsi="宋体"/>
          <w:sz w:val="36"/>
        </w:rPr>
        <w:t>报价文件</w:t>
      </w:r>
    </w:p>
    <w:p w14:paraId="6E00D011">
      <w:pPr>
        <w:pStyle w:val="5"/>
        <w:spacing w:line="360" w:lineRule="auto"/>
        <w:ind w:firstLine="0"/>
        <w:rPr>
          <w:rFonts w:ascii="宋体" w:hAnsi="宋体"/>
          <w:sz w:val="36"/>
        </w:rPr>
      </w:pPr>
    </w:p>
    <w:p w14:paraId="64227311">
      <w:pPr>
        <w:pStyle w:val="5"/>
        <w:spacing w:line="360" w:lineRule="auto"/>
        <w:ind w:firstLine="0"/>
        <w:rPr>
          <w:rFonts w:ascii="宋体" w:hAnsi="宋体"/>
          <w:sz w:val="36"/>
        </w:rPr>
      </w:pPr>
    </w:p>
    <w:p w14:paraId="09EDE69C">
      <w:pPr>
        <w:pStyle w:val="5"/>
        <w:spacing w:line="360" w:lineRule="auto"/>
        <w:ind w:firstLine="900" w:firstLineChars="250"/>
        <w:rPr>
          <w:rFonts w:ascii="宋体" w:hAnsi="宋体"/>
          <w:sz w:val="36"/>
        </w:rPr>
      </w:pPr>
      <w:r>
        <w:rPr>
          <w:rFonts w:hint="eastAsia" w:ascii="宋体" w:hAnsi="宋体"/>
          <w:sz w:val="36"/>
        </w:rPr>
        <w:t>供应商</w:t>
      </w:r>
      <w:r>
        <w:rPr>
          <w:rFonts w:ascii="宋体" w:hAnsi="宋体"/>
          <w:sz w:val="36"/>
        </w:rPr>
        <w:t>名称（</w:t>
      </w:r>
      <w:r>
        <w:rPr>
          <w:rFonts w:hint="eastAsia" w:ascii="宋体" w:hAnsi="宋体"/>
          <w:sz w:val="36"/>
        </w:rPr>
        <w:t>盖章</w:t>
      </w:r>
      <w:r>
        <w:rPr>
          <w:rFonts w:ascii="宋体" w:hAnsi="宋体"/>
          <w:sz w:val="36"/>
        </w:rPr>
        <w:t>）：</w:t>
      </w:r>
    </w:p>
    <w:p w14:paraId="5617EEBA">
      <w:pPr>
        <w:pStyle w:val="5"/>
        <w:spacing w:line="360" w:lineRule="auto"/>
        <w:ind w:firstLine="900" w:firstLineChars="250"/>
        <w:rPr>
          <w:rFonts w:ascii="宋体" w:hAnsi="宋体"/>
          <w:sz w:val="36"/>
        </w:rPr>
      </w:pPr>
    </w:p>
    <w:p w14:paraId="38057A76">
      <w:pPr>
        <w:pStyle w:val="5"/>
        <w:spacing w:line="360" w:lineRule="auto"/>
        <w:ind w:firstLine="900" w:firstLineChars="250"/>
        <w:rPr>
          <w:rFonts w:ascii="宋体" w:hAnsi="宋体"/>
          <w:sz w:val="36"/>
        </w:rPr>
      </w:pPr>
    </w:p>
    <w:p w14:paraId="08183A5E">
      <w:pPr>
        <w:spacing w:line="360" w:lineRule="auto"/>
        <w:ind w:firstLine="1080" w:firstLineChars="300"/>
        <w:rPr>
          <w:rFonts w:ascii="宋体" w:hAnsi="宋体"/>
          <w:sz w:val="36"/>
        </w:rPr>
      </w:pPr>
      <w:r>
        <w:rPr>
          <w:rFonts w:hint="eastAsia" w:ascii="宋体" w:hAnsi="宋体"/>
          <w:sz w:val="36"/>
        </w:rPr>
        <w:t>供应商</w:t>
      </w:r>
      <w:r>
        <w:rPr>
          <w:rFonts w:ascii="宋体" w:hAnsi="宋体"/>
          <w:sz w:val="36"/>
        </w:rPr>
        <w:t>地址：</w:t>
      </w:r>
    </w:p>
    <w:p w14:paraId="3D91F9AF">
      <w:pPr>
        <w:spacing w:line="360" w:lineRule="auto"/>
        <w:ind w:firstLine="1080" w:firstLineChars="300"/>
        <w:rPr>
          <w:rFonts w:ascii="宋体" w:hAnsi="宋体"/>
          <w:sz w:val="36"/>
        </w:rPr>
      </w:pPr>
    </w:p>
    <w:p w14:paraId="68EC8606">
      <w:pPr>
        <w:spacing w:line="360" w:lineRule="auto"/>
        <w:ind w:firstLine="1080" w:firstLineChars="300"/>
        <w:rPr>
          <w:rFonts w:ascii="宋体" w:hAnsi="宋体"/>
          <w:sz w:val="36"/>
        </w:rPr>
      </w:pPr>
    </w:p>
    <w:p w14:paraId="557ACB30">
      <w:pPr>
        <w:spacing w:line="360" w:lineRule="auto"/>
        <w:ind w:firstLine="900" w:firstLineChars="300"/>
        <w:rPr>
          <w:rFonts w:ascii="宋体" w:hAnsi="宋体"/>
        </w:rPr>
      </w:pPr>
      <w:r>
        <w:rPr>
          <w:rFonts w:ascii="宋体" w:hAnsi="宋体"/>
          <w:sz w:val="30"/>
        </w:rPr>
        <w:br w:type="page"/>
      </w:r>
    </w:p>
    <w:p w14:paraId="76802ECD">
      <w:pPr>
        <w:spacing w:line="360" w:lineRule="auto"/>
        <w:jc w:val="center"/>
        <w:rPr>
          <w:rFonts w:ascii="宋体" w:hAnsi="宋体"/>
          <w:sz w:val="30"/>
        </w:rPr>
      </w:pPr>
      <w:r>
        <w:rPr>
          <w:rFonts w:hint="eastAsia" w:ascii="宋体" w:hAnsi="宋体"/>
          <w:sz w:val="30"/>
        </w:rPr>
        <w:t>1、报价书（开标一览表）</w:t>
      </w:r>
    </w:p>
    <w:p w14:paraId="513EC658">
      <w:pPr>
        <w:spacing w:line="360" w:lineRule="auto"/>
        <w:rPr>
          <w:rFonts w:ascii="宋体" w:hAnsi="宋体"/>
          <w:spacing w:val="20"/>
          <w:sz w:val="24"/>
        </w:rPr>
      </w:pPr>
      <w:r>
        <w:rPr>
          <w:rFonts w:hint="eastAsia" w:ascii="宋体" w:hAnsi="宋体"/>
          <w:spacing w:val="20"/>
          <w:sz w:val="24"/>
        </w:rPr>
        <w:t xml:space="preserve"> </w:t>
      </w:r>
    </w:p>
    <w:p w14:paraId="5588A24C">
      <w:pPr>
        <w:spacing w:line="360" w:lineRule="auto"/>
        <w:rPr>
          <w:rFonts w:ascii="宋体" w:hAnsi="宋体"/>
          <w:spacing w:val="20"/>
          <w:sz w:val="24"/>
        </w:rPr>
      </w:pPr>
      <w:r>
        <w:rPr>
          <w:rFonts w:hint="eastAsia" w:ascii="宋体" w:hAnsi="宋体"/>
          <w:spacing w:val="20"/>
          <w:sz w:val="24"/>
        </w:rPr>
        <w:t xml:space="preserve">项目名称：                               </w:t>
      </w:r>
    </w:p>
    <w:tbl>
      <w:tblPr>
        <w:tblStyle w:val="26"/>
        <w:tblW w:w="0" w:type="auto"/>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807"/>
        <w:gridCol w:w="2552"/>
        <w:gridCol w:w="1701"/>
        <w:gridCol w:w="4205"/>
      </w:tblGrid>
      <w:tr w14:paraId="6E02C9A0">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016" w:hRule="atLeast"/>
          <w:jc w:val="center"/>
        </w:trPr>
        <w:tc>
          <w:tcPr>
            <w:tcW w:w="807" w:type="dxa"/>
            <w:tcBorders>
              <w:top w:val="double" w:color="000000" w:sz="6" w:space="0"/>
              <w:left w:val="double" w:color="000000" w:sz="6" w:space="0"/>
              <w:bottom w:val="single" w:color="000000" w:sz="6" w:space="0"/>
              <w:right w:val="single" w:color="000000" w:sz="6" w:space="0"/>
            </w:tcBorders>
            <w:vAlign w:val="center"/>
          </w:tcPr>
          <w:p w14:paraId="5F74B146">
            <w:pPr>
              <w:spacing w:line="360" w:lineRule="auto"/>
              <w:jc w:val="center"/>
              <w:rPr>
                <w:rFonts w:ascii="宋体" w:hAnsi="宋体"/>
                <w:b/>
                <w:spacing w:val="20"/>
                <w:sz w:val="24"/>
              </w:rPr>
            </w:pPr>
            <w:r>
              <w:rPr>
                <w:rFonts w:hint="eastAsia" w:ascii="宋体" w:hAnsi="宋体"/>
                <w:b/>
                <w:spacing w:val="20"/>
                <w:sz w:val="24"/>
              </w:rPr>
              <w:t>序号</w:t>
            </w:r>
          </w:p>
        </w:tc>
        <w:tc>
          <w:tcPr>
            <w:tcW w:w="2552" w:type="dxa"/>
            <w:tcBorders>
              <w:top w:val="double" w:color="000000" w:sz="6" w:space="0"/>
              <w:left w:val="single" w:color="000000" w:sz="6" w:space="0"/>
              <w:bottom w:val="single" w:color="000000" w:sz="6" w:space="0"/>
              <w:right w:val="single" w:color="000000" w:sz="6" w:space="0"/>
            </w:tcBorders>
            <w:vAlign w:val="center"/>
          </w:tcPr>
          <w:p w14:paraId="06FB8601">
            <w:pPr>
              <w:tabs>
                <w:tab w:val="left" w:pos="420"/>
                <w:tab w:val="center" w:pos="4153"/>
                <w:tab w:val="right" w:pos="8306"/>
              </w:tabs>
              <w:adjustRightInd w:val="0"/>
              <w:spacing w:line="360" w:lineRule="auto"/>
              <w:jc w:val="center"/>
              <w:rPr>
                <w:rFonts w:ascii="宋体" w:hAnsi="宋体"/>
                <w:b/>
                <w:spacing w:val="20"/>
                <w:sz w:val="24"/>
              </w:rPr>
            </w:pPr>
            <w:r>
              <w:rPr>
                <w:rFonts w:hint="eastAsia" w:ascii="宋体" w:hAnsi="宋体"/>
                <w:b/>
                <w:spacing w:val="20"/>
                <w:sz w:val="24"/>
              </w:rPr>
              <w:t>采购内容</w:t>
            </w:r>
          </w:p>
        </w:tc>
        <w:tc>
          <w:tcPr>
            <w:tcW w:w="1701" w:type="dxa"/>
            <w:tcBorders>
              <w:top w:val="double" w:color="000000" w:sz="6" w:space="0"/>
              <w:left w:val="single" w:color="000000" w:sz="6" w:space="0"/>
              <w:bottom w:val="single" w:color="000000" w:sz="6" w:space="0"/>
              <w:right w:val="single" w:color="auto" w:sz="4" w:space="0"/>
            </w:tcBorders>
            <w:vAlign w:val="center"/>
          </w:tcPr>
          <w:p w14:paraId="7FBC652D">
            <w:pPr>
              <w:spacing w:line="360" w:lineRule="auto"/>
              <w:jc w:val="center"/>
              <w:rPr>
                <w:rFonts w:ascii="宋体" w:hAnsi="宋体"/>
                <w:b/>
                <w:spacing w:val="20"/>
                <w:sz w:val="24"/>
              </w:rPr>
            </w:pPr>
            <w:r>
              <w:rPr>
                <w:rFonts w:hint="eastAsia" w:ascii="宋体" w:hAnsi="宋体"/>
                <w:b/>
                <w:spacing w:val="20"/>
                <w:sz w:val="24"/>
              </w:rPr>
              <w:t>▲最高限价（元）</w:t>
            </w:r>
          </w:p>
        </w:tc>
        <w:tc>
          <w:tcPr>
            <w:tcW w:w="4205" w:type="dxa"/>
            <w:tcBorders>
              <w:top w:val="double" w:color="000000" w:sz="6" w:space="0"/>
              <w:left w:val="single" w:color="auto" w:sz="4" w:space="0"/>
              <w:bottom w:val="single" w:color="000000" w:sz="6" w:space="0"/>
              <w:right w:val="double" w:color="000000" w:sz="6" w:space="0"/>
            </w:tcBorders>
            <w:vAlign w:val="center"/>
          </w:tcPr>
          <w:p w14:paraId="151341CE">
            <w:pPr>
              <w:spacing w:line="360" w:lineRule="auto"/>
              <w:jc w:val="center"/>
              <w:rPr>
                <w:rFonts w:ascii="宋体" w:hAnsi="宋体"/>
                <w:b/>
                <w:spacing w:val="20"/>
                <w:sz w:val="24"/>
              </w:rPr>
            </w:pPr>
            <w:r>
              <w:rPr>
                <w:rFonts w:hint="eastAsia" w:ascii="宋体" w:hAnsi="宋体"/>
                <w:b/>
                <w:spacing w:val="20"/>
                <w:sz w:val="24"/>
              </w:rPr>
              <w:t>总报价（元）</w:t>
            </w:r>
          </w:p>
        </w:tc>
      </w:tr>
      <w:tr w14:paraId="511AD4AA">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671" w:hRule="atLeast"/>
          <w:jc w:val="center"/>
        </w:trPr>
        <w:tc>
          <w:tcPr>
            <w:tcW w:w="807" w:type="dxa"/>
            <w:tcBorders>
              <w:top w:val="single" w:color="000000" w:sz="6" w:space="0"/>
              <w:left w:val="double" w:color="000000" w:sz="6" w:space="0"/>
              <w:bottom w:val="single" w:color="000000" w:sz="6" w:space="0"/>
              <w:right w:val="single" w:color="000000" w:sz="6" w:space="0"/>
            </w:tcBorders>
            <w:vAlign w:val="center"/>
          </w:tcPr>
          <w:p w14:paraId="3DEE2707">
            <w:pPr>
              <w:spacing w:line="360" w:lineRule="auto"/>
              <w:jc w:val="center"/>
              <w:rPr>
                <w:rFonts w:ascii="宋体" w:hAnsi="宋体"/>
                <w:spacing w:val="20"/>
                <w:sz w:val="24"/>
              </w:rPr>
            </w:pPr>
            <w:r>
              <w:rPr>
                <w:rFonts w:hint="eastAsia" w:ascii="宋体" w:hAnsi="宋体"/>
                <w:spacing w:val="20"/>
                <w:sz w:val="24"/>
              </w:rPr>
              <w:t>1</w:t>
            </w:r>
          </w:p>
        </w:tc>
        <w:tc>
          <w:tcPr>
            <w:tcW w:w="2552" w:type="dxa"/>
            <w:tcBorders>
              <w:top w:val="single" w:color="000000" w:sz="6" w:space="0"/>
              <w:left w:val="single" w:color="000000" w:sz="6" w:space="0"/>
              <w:bottom w:val="single" w:color="000000" w:sz="6" w:space="0"/>
              <w:right w:val="single" w:color="auto" w:sz="4" w:space="0"/>
            </w:tcBorders>
            <w:vAlign w:val="center"/>
          </w:tcPr>
          <w:p w14:paraId="009F375D">
            <w:pPr>
              <w:widowControl/>
              <w:spacing w:line="300" w:lineRule="exact"/>
              <w:jc w:val="center"/>
              <w:rPr>
                <w:rFonts w:ascii="宋体" w:hAnsi="宋体"/>
                <w:spacing w:val="20"/>
                <w:sz w:val="24"/>
              </w:rPr>
            </w:pPr>
            <w:r>
              <w:rPr>
                <w:rFonts w:hint="eastAsia" w:ascii="宋体" w:hAnsi="宋体" w:cs="仿宋_GB2312"/>
                <w:sz w:val="24"/>
              </w:rPr>
              <w:t>2025丽水学院现代教育设施维护外包服务项目</w:t>
            </w:r>
          </w:p>
        </w:tc>
        <w:tc>
          <w:tcPr>
            <w:tcW w:w="1701" w:type="dxa"/>
            <w:tcBorders>
              <w:top w:val="single" w:color="000000" w:sz="6" w:space="0"/>
              <w:left w:val="single" w:color="auto" w:sz="4" w:space="0"/>
              <w:bottom w:val="single" w:color="000000" w:sz="6" w:space="0"/>
              <w:right w:val="single" w:color="auto" w:sz="4" w:space="0"/>
            </w:tcBorders>
            <w:vAlign w:val="center"/>
          </w:tcPr>
          <w:p w14:paraId="316AE25A">
            <w:pPr>
              <w:spacing w:line="360" w:lineRule="auto"/>
              <w:jc w:val="center"/>
              <w:rPr>
                <w:rFonts w:ascii="宋体" w:hAnsi="宋体"/>
                <w:spacing w:val="20"/>
                <w:sz w:val="24"/>
              </w:rPr>
            </w:pPr>
            <w:r>
              <w:rPr>
                <w:rFonts w:ascii="宋体" w:hAnsi="宋体"/>
                <w:spacing w:val="20"/>
                <w:sz w:val="24"/>
              </w:rPr>
              <w:t>99000</w:t>
            </w:r>
          </w:p>
        </w:tc>
        <w:tc>
          <w:tcPr>
            <w:tcW w:w="4205" w:type="dxa"/>
            <w:tcBorders>
              <w:top w:val="single" w:color="000000" w:sz="6" w:space="0"/>
              <w:left w:val="single" w:color="auto" w:sz="4" w:space="0"/>
              <w:bottom w:val="single" w:color="000000" w:sz="6" w:space="0"/>
              <w:right w:val="double" w:color="000000" w:sz="6" w:space="0"/>
            </w:tcBorders>
            <w:vAlign w:val="center"/>
          </w:tcPr>
          <w:p w14:paraId="142492F0">
            <w:pPr>
              <w:spacing w:line="360" w:lineRule="auto"/>
              <w:rPr>
                <w:rFonts w:ascii="宋体" w:hAnsi="宋体"/>
                <w:spacing w:val="20"/>
                <w:sz w:val="24"/>
              </w:rPr>
            </w:pPr>
          </w:p>
        </w:tc>
      </w:tr>
    </w:tbl>
    <w:p w14:paraId="488C1ECF">
      <w:pPr>
        <w:spacing w:line="360" w:lineRule="auto"/>
        <w:ind w:firstLine="560" w:firstLineChars="200"/>
        <w:rPr>
          <w:rFonts w:ascii="宋体" w:hAnsi="宋体"/>
          <w:spacing w:val="20"/>
          <w:sz w:val="24"/>
        </w:rPr>
      </w:pPr>
      <w:r>
        <w:rPr>
          <w:rFonts w:hint="eastAsia" w:ascii="宋体" w:hAnsi="宋体"/>
          <w:spacing w:val="20"/>
          <w:sz w:val="24"/>
        </w:rPr>
        <w:t>注：</w:t>
      </w:r>
    </w:p>
    <w:p w14:paraId="7F54F9BE">
      <w:pPr>
        <w:spacing w:line="360" w:lineRule="auto"/>
        <w:ind w:firstLine="482" w:firstLineChars="200"/>
        <w:rPr>
          <w:rFonts w:ascii="宋体" w:hAnsi="宋体"/>
          <w:sz w:val="24"/>
        </w:rPr>
      </w:pPr>
      <w:r>
        <w:rPr>
          <w:rFonts w:hint="eastAsia" w:ascii="宋体" w:hAnsi="宋体"/>
          <w:b/>
          <w:sz w:val="24"/>
        </w:rPr>
        <w:t>1、报价应包括为完成本项目所产生的所有费用，如人工费、运维费、技术服务费、税费等一切实施本项目所产生的费用，采购人不再另行支付任何费用。</w:t>
      </w:r>
    </w:p>
    <w:p w14:paraId="694C8E88">
      <w:pPr>
        <w:pStyle w:val="15"/>
        <w:spacing w:line="360" w:lineRule="auto"/>
        <w:ind w:firstLine="240" w:firstLineChars="100"/>
        <w:rPr>
          <w:rFonts w:hAnsi="宋体"/>
          <w:spacing w:val="20"/>
          <w:sz w:val="24"/>
        </w:rPr>
      </w:pPr>
      <w:r>
        <w:rPr>
          <w:rFonts w:hint="eastAsia" w:hAnsi="宋体"/>
          <w:sz w:val="24"/>
        </w:rPr>
        <w:t>▲</w:t>
      </w:r>
      <w:r>
        <w:rPr>
          <w:rFonts w:hint="eastAsia" w:hAnsi="宋体"/>
          <w:b/>
          <w:sz w:val="24"/>
        </w:rPr>
        <w:t>2、最终报价高于最高限价的作无效标处理。</w:t>
      </w:r>
    </w:p>
    <w:p w14:paraId="7CC3144C">
      <w:pPr>
        <w:pStyle w:val="52"/>
        <w:spacing w:line="360" w:lineRule="auto"/>
        <w:ind w:firstLine="482"/>
        <w:rPr>
          <w:rFonts w:ascii="宋体" w:hAnsi="宋体"/>
          <w:b/>
        </w:rPr>
      </w:pPr>
      <w:bookmarkStart w:id="51" w:name="_Toc432670427"/>
      <w:bookmarkStart w:id="52" w:name="_Toc441763635"/>
    </w:p>
    <w:p w14:paraId="6D93B617">
      <w:pPr>
        <w:spacing w:line="360" w:lineRule="auto"/>
        <w:rPr>
          <w:rFonts w:ascii="宋体" w:hAnsi="宋体"/>
          <w:sz w:val="28"/>
          <w:szCs w:val="28"/>
        </w:rPr>
      </w:pPr>
    </w:p>
    <w:p w14:paraId="203F8E98">
      <w:pPr>
        <w:spacing w:line="360" w:lineRule="auto"/>
        <w:rPr>
          <w:rFonts w:ascii="宋体" w:hAnsi="宋体"/>
          <w:sz w:val="28"/>
          <w:szCs w:val="28"/>
        </w:rPr>
      </w:pPr>
    </w:p>
    <w:p w14:paraId="27418799">
      <w:pPr>
        <w:spacing w:line="360" w:lineRule="auto"/>
        <w:rPr>
          <w:rFonts w:ascii="宋体" w:hAnsi="宋体"/>
          <w:sz w:val="28"/>
          <w:szCs w:val="28"/>
        </w:rPr>
      </w:pPr>
    </w:p>
    <w:p w14:paraId="5F06E4D9">
      <w:pPr>
        <w:spacing w:line="360" w:lineRule="auto"/>
        <w:rPr>
          <w:rFonts w:ascii="宋体" w:hAnsi="宋体"/>
          <w:sz w:val="28"/>
          <w:szCs w:val="28"/>
        </w:rPr>
      </w:pPr>
    </w:p>
    <w:p w14:paraId="2293D364">
      <w:pPr>
        <w:spacing w:line="360" w:lineRule="auto"/>
        <w:rPr>
          <w:rFonts w:ascii="宋体" w:hAnsi="宋体"/>
          <w:sz w:val="28"/>
          <w:szCs w:val="28"/>
        </w:rPr>
      </w:pPr>
    </w:p>
    <w:p w14:paraId="35334D6F">
      <w:pPr>
        <w:spacing w:line="360" w:lineRule="auto"/>
        <w:rPr>
          <w:rFonts w:ascii="宋体" w:hAnsi="宋体"/>
          <w:sz w:val="28"/>
          <w:szCs w:val="28"/>
        </w:rPr>
      </w:pPr>
    </w:p>
    <w:p w14:paraId="4D27A3FA">
      <w:pPr>
        <w:spacing w:line="360" w:lineRule="auto"/>
        <w:rPr>
          <w:rFonts w:ascii="宋体" w:hAnsi="宋体"/>
          <w:sz w:val="28"/>
          <w:szCs w:val="28"/>
        </w:rPr>
      </w:pPr>
    </w:p>
    <w:p w14:paraId="1BDFB3C3">
      <w:pPr>
        <w:spacing w:line="360" w:lineRule="auto"/>
        <w:rPr>
          <w:rFonts w:ascii="宋体" w:hAnsi="宋体"/>
          <w:sz w:val="28"/>
          <w:szCs w:val="28"/>
        </w:rPr>
      </w:pPr>
    </w:p>
    <w:p w14:paraId="7BFC4583">
      <w:pPr>
        <w:spacing w:line="360" w:lineRule="auto"/>
        <w:rPr>
          <w:rFonts w:ascii="宋体" w:hAnsi="宋体"/>
          <w:sz w:val="28"/>
          <w:szCs w:val="28"/>
        </w:rPr>
      </w:pPr>
    </w:p>
    <w:p w14:paraId="30F5483F">
      <w:pPr>
        <w:spacing w:line="360" w:lineRule="auto"/>
        <w:rPr>
          <w:rFonts w:ascii="宋体" w:hAnsi="宋体"/>
          <w:sz w:val="28"/>
          <w:szCs w:val="28"/>
        </w:rPr>
      </w:pPr>
    </w:p>
    <w:p w14:paraId="41949402">
      <w:pPr>
        <w:spacing w:line="360" w:lineRule="auto"/>
        <w:rPr>
          <w:rFonts w:ascii="宋体" w:hAnsi="宋体"/>
          <w:sz w:val="28"/>
          <w:szCs w:val="28"/>
        </w:rPr>
      </w:pPr>
    </w:p>
    <w:p w14:paraId="1604EB3E">
      <w:pPr>
        <w:spacing w:line="360" w:lineRule="auto"/>
        <w:rPr>
          <w:rFonts w:ascii="宋体" w:hAnsi="宋体"/>
          <w:sz w:val="28"/>
          <w:szCs w:val="28"/>
        </w:rPr>
      </w:pPr>
    </w:p>
    <w:p w14:paraId="1191B5D1">
      <w:pPr>
        <w:spacing w:line="360" w:lineRule="auto"/>
        <w:rPr>
          <w:rFonts w:ascii="宋体" w:hAnsi="宋体"/>
          <w:sz w:val="28"/>
          <w:szCs w:val="28"/>
        </w:rPr>
      </w:pPr>
    </w:p>
    <w:bookmarkEnd w:id="51"/>
    <w:bookmarkEnd w:id="52"/>
    <w:p w14:paraId="7102D6DC">
      <w:pPr>
        <w:rPr>
          <w:rFonts w:ascii="宋体" w:hAnsi="宋体"/>
        </w:rPr>
      </w:pPr>
    </w:p>
    <w:p w14:paraId="4408B1CB">
      <w:pPr>
        <w:pStyle w:val="3"/>
        <w:spacing w:line="560" w:lineRule="exact"/>
        <w:rPr>
          <w:rFonts w:ascii="宋体" w:hAnsi="宋体" w:eastAsia="宋体"/>
        </w:rPr>
      </w:pPr>
      <w:bookmarkStart w:id="53" w:name="_Toc390938600"/>
      <w:bookmarkStart w:id="54" w:name="_Toc112339172"/>
      <w:bookmarkStart w:id="55" w:name="_Toc335664294"/>
      <w:r>
        <w:rPr>
          <w:rFonts w:hint="eastAsia" w:ascii="宋体" w:hAnsi="宋体" w:eastAsia="宋体"/>
        </w:rPr>
        <w:t>第四章</w:t>
      </w:r>
      <w:r>
        <w:rPr>
          <w:rFonts w:ascii="宋体" w:hAnsi="宋体" w:eastAsia="宋体"/>
        </w:rPr>
        <w:t xml:space="preserve">  </w:t>
      </w:r>
      <w:r>
        <w:rPr>
          <w:rFonts w:hint="eastAsia" w:ascii="宋体" w:hAnsi="宋体" w:eastAsia="宋体"/>
        </w:rPr>
        <w:t>磋商办法和细则</w:t>
      </w:r>
      <w:bookmarkEnd w:id="53"/>
      <w:bookmarkEnd w:id="54"/>
      <w:bookmarkEnd w:id="55"/>
    </w:p>
    <w:p w14:paraId="109A0CBA">
      <w:pPr>
        <w:spacing w:line="360" w:lineRule="auto"/>
        <w:ind w:firstLine="482" w:firstLineChars="200"/>
        <w:rPr>
          <w:rFonts w:ascii="宋体" w:hAnsi="宋体"/>
          <w:b/>
          <w:sz w:val="24"/>
        </w:rPr>
      </w:pPr>
      <w:bookmarkStart w:id="56" w:name="_Toc335664299"/>
      <w:bookmarkStart w:id="57" w:name="_Toc390938605"/>
      <w:r>
        <w:rPr>
          <w:rFonts w:hint="eastAsia" w:ascii="宋体" w:hAnsi="宋体"/>
          <w:b/>
          <w:sz w:val="24"/>
        </w:rPr>
        <w:t>本次评审方法采取百分制综合评分法，按总得分由高到低顺序排列。总得分相同的，按报价得分由高到低顺序排列；总得分和报价得分均相同的，按技术得分由高到低顺序排列；以上得分均相同的，由采购人抽签确定排名（即第一抽出人为第一名，以此类推）。磋商小组按总得分从高到低推荐三名成交候选人，由采购人确认本项目成交人。</w:t>
      </w:r>
    </w:p>
    <w:p w14:paraId="7C10A34C">
      <w:pPr>
        <w:spacing w:line="360" w:lineRule="auto"/>
        <w:rPr>
          <w:rFonts w:ascii="宋体" w:hAnsi="宋体"/>
          <w:b/>
          <w:kern w:val="0"/>
          <w:sz w:val="28"/>
          <w:szCs w:val="21"/>
        </w:rPr>
      </w:pPr>
      <w:r>
        <w:rPr>
          <w:rFonts w:hint="eastAsia" w:ascii="宋体" w:hAnsi="宋体"/>
          <w:b/>
          <w:kern w:val="0"/>
          <w:sz w:val="28"/>
          <w:szCs w:val="21"/>
        </w:rPr>
        <w:t>一、资信商务技术文件评审</w:t>
      </w:r>
    </w:p>
    <w:p w14:paraId="53BBDFCB">
      <w:pPr>
        <w:spacing w:line="360" w:lineRule="auto"/>
        <w:ind w:firstLine="480" w:firstLineChars="200"/>
        <w:rPr>
          <w:rFonts w:ascii="宋体" w:hAnsi="宋体"/>
          <w:sz w:val="24"/>
        </w:rPr>
      </w:pPr>
      <w:r>
        <w:rPr>
          <w:rFonts w:hint="eastAsia" w:ascii="宋体" w:hAnsi="宋体"/>
          <w:sz w:val="24"/>
        </w:rPr>
        <w:t>采购人组建不少于三人的磋商小组</w:t>
      </w:r>
      <w:r>
        <w:rPr>
          <w:rFonts w:ascii="宋体" w:hAnsi="宋体"/>
          <w:sz w:val="24"/>
        </w:rPr>
        <w:t>，</w:t>
      </w:r>
      <w:r>
        <w:rPr>
          <w:rFonts w:hint="eastAsia" w:ascii="宋体" w:hAnsi="宋体"/>
          <w:sz w:val="24"/>
        </w:rPr>
        <w:t>依据磋商文件</w:t>
      </w:r>
      <w:r>
        <w:rPr>
          <w:rFonts w:ascii="宋体" w:hAnsi="宋体"/>
          <w:sz w:val="24"/>
        </w:rPr>
        <w:t>的规定，从</w:t>
      </w:r>
      <w:r>
        <w:rPr>
          <w:rFonts w:hint="eastAsia" w:ascii="宋体" w:hAnsi="宋体"/>
          <w:sz w:val="24"/>
        </w:rPr>
        <w:t>响应文件</w:t>
      </w:r>
      <w:r>
        <w:rPr>
          <w:rFonts w:ascii="宋体" w:hAnsi="宋体"/>
          <w:sz w:val="24"/>
        </w:rPr>
        <w:t>的有效性、完整性和对</w:t>
      </w:r>
      <w:r>
        <w:rPr>
          <w:rFonts w:hint="eastAsia" w:ascii="宋体" w:hAnsi="宋体"/>
          <w:sz w:val="24"/>
        </w:rPr>
        <w:t>磋商文件</w:t>
      </w:r>
      <w:r>
        <w:rPr>
          <w:rFonts w:ascii="宋体" w:hAnsi="宋体"/>
          <w:sz w:val="24"/>
        </w:rPr>
        <w:t>的响应程度</w:t>
      </w:r>
      <w:r>
        <w:rPr>
          <w:rFonts w:hint="eastAsia" w:ascii="宋体" w:hAnsi="宋体"/>
          <w:sz w:val="24"/>
        </w:rPr>
        <w:t>进行</w:t>
      </w:r>
      <w:r>
        <w:rPr>
          <w:rFonts w:ascii="宋体" w:hAnsi="宋体"/>
          <w:sz w:val="24"/>
        </w:rPr>
        <w:t>审查，以确定</w:t>
      </w:r>
      <w:r>
        <w:rPr>
          <w:rFonts w:hint="eastAsia" w:ascii="宋体" w:hAnsi="宋体"/>
          <w:sz w:val="24"/>
        </w:rPr>
        <w:t>是否</w:t>
      </w:r>
      <w:r>
        <w:rPr>
          <w:rFonts w:ascii="宋体" w:hAnsi="宋体"/>
          <w:sz w:val="24"/>
        </w:rPr>
        <w:t>对</w:t>
      </w:r>
      <w:r>
        <w:rPr>
          <w:rFonts w:hint="eastAsia" w:ascii="宋体" w:hAnsi="宋体"/>
          <w:sz w:val="24"/>
        </w:rPr>
        <w:t>磋商文件</w:t>
      </w:r>
      <w:r>
        <w:rPr>
          <w:rFonts w:ascii="宋体" w:hAnsi="宋体"/>
          <w:sz w:val="24"/>
        </w:rPr>
        <w:t>的实质性要求作出响应。</w:t>
      </w:r>
      <w:r>
        <w:rPr>
          <w:rFonts w:hint="eastAsia" w:ascii="宋体" w:hAnsi="宋体"/>
          <w:sz w:val="24"/>
        </w:rPr>
        <w:t>通过符合性审查不足</w:t>
      </w:r>
      <w:r>
        <w:rPr>
          <w:rFonts w:ascii="宋体" w:hAnsi="宋体"/>
          <w:sz w:val="24"/>
        </w:rPr>
        <w:t>三家的</w:t>
      </w:r>
      <w:r>
        <w:rPr>
          <w:rFonts w:hint="eastAsia" w:ascii="宋体" w:hAnsi="宋体"/>
          <w:sz w:val="24"/>
        </w:rPr>
        <w:t>，</w:t>
      </w:r>
      <w:r>
        <w:rPr>
          <w:rFonts w:ascii="宋体" w:hAnsi="宋体"/>
          <w:sz w:val="24"/>
        </w:rPr>
        <w:t>除采购任务取消</w:t>
      </w:r>
      <w:r>
        <w:rPr>
          <w:rFonts w:hint="eastAsia" w:ascii="宋体" w:hAnsi="宋体"/>
          <w:sz w:val="24"/>
        </w:rPr>
        <w:t>的情形</w:t>
      </w:r>
      <w:r>
        <w:rPr>
          <w:rFonts w:ascii="宋体" w:hAnsi="宋体"/>
          <w:sz w:val="24"/>
        </w:rPr>
        <w:t>外</w:t>
      </w:r>
      <w:r>
        <w:rPr>
          <w:rFonts w:hint="eastAsia" w:ascii="宋体" w:hAnsi="宋体"/>
          <w:sz w:val="24"/>
        </w:rPr>
        <w:t>，</w:t>
      </w:r>
      <w:r>
        <w:rPr>
          <w:rFonts w:ascii="宋体" w:hAnsi="宋体"/>
          <w:sz w:val="24"/>
        </w:rPr>
        <w:t>按</w:t>
      </w:r>
      <w:r>
        <w:rPr>
          <w:rFonts w:hint="eastAsia" w:ascii="宋体" w:hAnsi="宋体"/>
          <w:sz w:val="24"/>
        </w:rPr>
        <w:t>相关</w:t>
      </w:r>
      <w:r>
        <w:rPr>
          <w:rFonts w:ascii="宋体" w:hAnsi="宋体"/>
          <w:sz w:val="24"/>
        </w:rPr>
        <w:t>规定</w:t>
      </w:r>
      <w:r>
        <w:rPr>
          <w:rFonts w:hint="eastAsia" w:ascii="宋体" w:hAnsi="宋体"/>
          <w:sz w:val="24"/>
        </w:rPr>
        <w:t>重新组织采购。</w:t>
      </w:r>
    </w:p>
    <w:p w14:paraId="4FA33557">
      <w:pPr>
        <w:spacing w:line="360" w:lineRule="auto"/>
        <w:ind w:firstLine="480" w:firstLineChars="200"/>
        <w:rPr>
          <w:rFonts w:ascii="宋体" w:hAnsi="宋体"/>
          <w:sz w:val="24"/>
        </w:rPr>
      </w:pPr>
      <w:r>
        <w:rPr>
          <w:rFonts w:hint="eastAsia" w:ascii="宋体" w:hAnsi="宋体"/>
          <w:sz w:val="24"/>
        </w:rPr>
        <w:t>磋商小组对响应文件进行评审，并根据磋商文件规定的程序、评定成交的标准等事项与实质性响应磋商文件要求的供应商进行多轮磋商。</w:t>
      </w:r>
    </w:p>
    <w:p w14:paraId="660DEA6C">
      <w:pPr>
        <w:spacing w:line="360" w:lineRule="auto"/>
        <w:ind w:firstLine="480" w:firstLineChars="200"/>
        <w:rPr>
          <w:rFonts w:ascii="宋体" w:hAnsi="宋体"/>
          <w:sz w:val="24"/>
        </w:rPr>
      </w:pPr>
      <w:r>
        <w:rPr>
          <w:rFonts w:hint="eastAsia" w:ascii="宋体" w:hAnsi="宋体"/>
          <w:sz w:val="24"/>
        </w:rPr>
        <w:t>磋商小组</w:t>
      </w:r>
      <w:r>
        <w:rPr>
          <w:rFonts w:ascii="宋体" w:hAnsi="宋体"/>
          <w:sz w:val="24"/>
        </w:rPr>
        <w:t>分别</w:t>
      </w:r>
      <w:r>
        <w:rPr>
          <w:rFonts w:hint="eastAsia" w:ascii="宋体" w:hAnsi="宋体"/>
          <w:sz w:val="24"/>
        </w:rPr>
        <w:t>对不同的供应商</w:t>
      </w:r>
      <w:r>
        <w:rPr>
          <w:rFonts w:ascii="宋体" w:hAnsi="宋体"/>
          <w:sz w:val="24"/>
        </w:rPr>
        <w:t>进行磋商</w:t>
      </w:r>
      <w:r>
        <w:rPr>
          <w:rFonts w:hint="eastAsia" w:ascii="宋体" w:hAnsi="宋体"/>
          <w:sz w:val="24"/>
        </w:rPr>
        <w:t>。磋商小组所有成员应当集中与单一供应商分别进行磋商，并给予所有参加磋商的供应商平等的磋商机会。</w:t>
      </w:r>
    </w:p>
    <w:p w14:paraId="5D6D1CC7">
      <w:pPr>
        <w:spacing w:line="360" w:lineRule="auto"/>
        <w:ind w:firstLine="480" w:firstLineChars="200"/>
        <w:rPr>
          <w:rFonts w:ascii="宋体" w:hAnsi="宋体"/>
          <w:sz w:val="24"/>
        </w:rPr>
      </w:pPr>
      <w:r>
        <w:rPr>
          <w:rFonts w:hint="eastAsia" w:ascii="宋体" w:hAnsi="宋体"/>
          <w:kern w:val="0"/>
          <w:sz w:val="24"/>
        </w:rPr>
        <w:t>响应文件</w:t>
      </w:r>
      <w:r>
        <w:rPr>
          <w:rFonts w:hint="eastAsia" w:ascii="宋体" w:hAnsi="宋体"/>
          <w:sz w:val="24"/>
        </w:rPr>
        <w:t>中含义不明确、同类问题表述不一致或者有明显文字和计算错误的内容，磋商小组应当通过与供应商代表进行沟通，供应商代表须作出必要的澄清、说明或者更正。供应商的澄清、说明或者更正不得超出响应文件的范围或者改变响应文件的实质性内容。</w:t>
      </w:r>
    </w:p>
    <w:p w14:paraId="78915591">
      <w:pPr>
        <w:spacing w:line="360" w:lineRule="auto"/>
        <w:ind w:firstLine="480" w:firstLineChars="200"/>
        <w:rPr>
          <w:rFonts w:ascii="宋体" w:hAnsi="宋体"/>
          <w:sz w:val="24"/>
        </w:rPr>
      </w:pPr>
      <w:r>
        <w:rPr>
          <w:rFonts w:hint="eastAsia" w:ascii="宋体" w:hAnsi="宋体"/>
          <w:sz w:val="24"/>
        </w:rPr>
        <w:t>磋商文件能够详细列明采购标的的技术、服务要求的，磋商结束后，磋商小组应当要求所有继续参加磋商的供应商在规定时间内提交最终报价，提交最终报价的供应商不得少于3家。</w:t>
      </w:r>
    </w:p>
    <w:p w14:paraId="130B38B3">
      <w:pPr>
        <w:spacing w:line="360" w:lineRule="auto"/>
        <w:ind w:firstLine="480" w:firstLineChars="200"/>
        <w:rPr>
          <w:rFonts w:ascii="宋体" w:hAnsi="宋体"/>
          <w:sz w:val="24"/>
        </w:rPr>
      </w:pPr>
      <w:r>
        <w:rPr>
          <w:rFonts w:hint="eastAsia" w:ascii="宋体" w:hAnsi="宋体"/>
          <w:sz w:val="24"/>
        </w:rPr>
        <w:t>磋商时，参与磋商的供应商派代表应在开标现场。参与磋商的供应商人员应及时解释和澄清磋商响应文件相关内容，重新做出承诺并签署确定。后</w:t>
      </w:r>
      <w:r>
        <w:rPr>
          <w:rFonts w:ascii="宋体" w:hAnsi="宋体"/>
          <w:sz w:val="24"/>
        </w:rPr>
        <w:t>一轮磋商</w:t>
      </w:r>
      <w:r>
        <w:rPr>
          <w:rFonts w:hint="eastAsia" w:ascii="宋体" w:hAnsi="宋体"/>
          <w:sz w:val="24"/>
        </w:rPr>
        <w:t>的价格、服务承诺及优惠条件等必须优于或等于前</w:t>
      </w:r>
      <w:r>
        <w:rPr>
          <w:rFonts w:ascii="宋体" w:hAnsi="宋体"/>
          <w:sz w:val="24"/>
        </w:rPr>
        <w:t>一轮磋商</w:t>
      </w:r>
      <w:r>
        <w:rPr>
          <w:rFonts w:hint="eastAsia" w:ascii="宋体" w:hAnsi="宋体"/>
          <w:sz w:val="24"/>
        </w:rPr>
        <w:t>的价格、服务承诺及优惠条件等。</w:t>
      </w:r>
    </w:p>
    <w:p w14:paraId="55897B11">
      <w:pPr>
        <w:spacing w:line="360" w:lineRule="auto"/>
        <w:ind w:firstLine="480" w:firstLineChars="200"/>
        <w:rPr>
          <w:rFonts w:ascii="宋体" w:hAnsi="宋体"/>
          <w:sz w:val="24"/>
        </w:rPr>
      </w:pPr>
      <w:r>
        <w:rPr>
          <w:rFonts w:hint="eastAsia" w:ascii="宋体" w:hAnsi="宋体"/>
          <w:sz w:val="24"/>
        </w:rPr>
        <w:t>报价明显低于其他通过符合性审查供应商的报价，有可能影响产品质量或者不能诚信履约的，应当要求其在磋商现场合理的时间内提供说明，必要时提交相关证明材料；供应商不能证明其报价合理性的，磋商小组应当将其作为无效标处理。</w:t>
      </w:r>
    </w:p>
    <w:p w14:paraId="3D18BD05">
      <w:pPr>
        <w:spacing w:line="360" w:lineRule="auto"/>
        <w:ind w:firstLine="480" w:firstLineChars="200"/>
        <w:rPr>
          <w:rFonts w:ascii="宋体" w:hAnsi="宋体"/>
          <w:sz w:val="24"/>
        </w:rPr>
      </w:pPr>
      <w:r>
        <w:rPr>
          <w:rFonts w:hint="eastAsia" w:ascii="宋体" w:hAnsi="宋体"/>
          <w:sz w:val="24"/>
        </w:rPr>
        <w:t>磋商小组采用综合评分法对确定作出最终报价的供应商的响应文件进行综合评分。</w:t>
      </w:r>
    </w:p>
    <w:p w14:paraId="59CBA5F6">
      <w:pPr>
        <w:spacing w:line="360" w:lineRule="auto"/>
        <w:ind w:firstLine="480" w:firstLineChars="200"/>
        <w:rPr>
          <w:rFonts w:ascii="宋体" w:hAnsi="宋体"/>
          <w:sz w:val="24"/>
        </w:rPr>
      </w:pPr>
      <w:r>
        <w:rPr>
          <w:rFonts w:hint="eastAsia" w:ascii="宋体" w:hAnsi="宋体"/>
          <w:sz w:val="24"/>
        </w:rPr>
        <w:t>1、磋商小组依据磋商文件的规定，对各</w:t>
      </w:r>
      <w:r>
        <w:rPr>
          <w:rFonts w:hint="eastAsia" w:ascii="宋体" w:hAnsi="宋体"/>
          <w:kern w:val="0"/>
          <w:sz w:val="24"/>
        </w:rPr>
        <w:t>供应商的</w:t>
      </w:r>
      <w:r>
        <w:rPr>
          <w:rFonts w:hint="eastAsia" w:ascii="宋体" w:hAnsi="宋体"/>
          <w:sz w:val="24"/>
        </w:rPr>
        <w:t>资信商务部分进行评审，对客观分应统一意见后统一给分。</w:t>
      </w:r>
    </w:p>
    <w:p w14:paraId="763DA138">
      <w:pPr>
        <w:spacing w:line="360" w:lineRule="auto"/>
        <w:ind w:firstLine="480" w:firstLineChars="200"/>
        <w:rPr>
          <w:rFonts w:ascii="宋体" w:hAnsi="宋体"/>
          <w:sz w:val="24"/>
        </w:rPr>
      </w:pPr>
      <w:r>
        <w:rPr>
          <w:rFonts w:hint="eastAsia" w:ascii="宋体" w:hAnsi="宋体"/>
          <w:sz w:val="24"/>
        </w:rPr>
        <w:t>2、磋商小组依据磋商文件的规定，对各</w:t>
      </w:r>
      <w:r>
        <w:rPr>
          <w:rFonts w:hint="eastAsia" w:ascii="宋体" w:hAnsi="宋体"/>
          <w:kern w:val="0"/>
          <w:sz w:val="24"/>
        </w:rPr>
        <w:t>供应商的</w:t>
      </w:r>
      <w:r>
        <w:rPr>
          <w:rFonts w:hint="eastAsia" w:ascii="宋体" w:hAnsi="宋体"/>
          <w:sz w:val="24"/>
        </w:rPr>
        <w:t>技术部分进行独立评审。对各</w:t>
      </w:r>
      <w:r>
        <w:rPr>
          <w:rFonts w:hint="eastAsia" w:ascii="宋体" w:hAnsi="宋体"/>
          <w:kern w:val="0"/>
          <w:sz w:val="24"/>
        </w:rPr>
        <w:t>响应文件</w:t>
      </w:r>
      <w:r>
        <w:rPr>
          <w:rFonts w:hint="eastAsia" w:ascii="宋体" w:hAnsi="宋体"/>
          <w:sz w:val="24"/>
        </w:rPr>
        <w:t>进行比较和必要的澄清。</w:t>
      </w:r>
    </w:p>
    <w:p w14:paraId="30965003">
      <w:pPr>
        <w:spacing w:line="360" w:lineRule="auto"/>
        <w:ind w:firstLine="480" w:firstLineChars="200"/>
        <w:rPr>
          <w:rFonts w:ascii="宋体" w:hAnsi="宋体"/>
          <w:sz w:val="24"/>
        </w:rPr>
      </w:pPr>
      <w:r>
        <w:rPr>
          <w:rFonts w:hint="eastAsia" w:ascii="宋体" w:hAnsi="宋体"/>
          <w:sz w:val="24"/>
        </w:rPr>
        <w:t>3、各供应商的资信商务及技术得分，为各磋商小组</w:t>
      </w:r>
      <w:r>
        <w:rPr>
          <w:rFonts w:ascii="宋体" w:hAnsi="宋体"/>
          <w:sz w:val="24"/>
        </w:rPr>
        <w:t>成员</w:t>
      </w:r>
      <w:r>
        <w:rPr>
          <w:rFonts w:hint="eastAsia" w:ascii="宋体" w:hAnsi="宋体"/>
          <w:sz w:val="24"/>
        </w:rPr>
        <w:t>对该供应商的评分汇总后的算术平均数。</w:t>
      </w:r>
    </w:p>
    <w:p w14:paraId="5474ED19">
      <w:pPr>
        <w:spacing w:line="360" w:lineRule="auto"/>
        <w:rPr>
          <w:rFonts w:ascii="宋体" w:hAnsi="宋体"/>
          <w:b/>
          <w:kern w:val="0"/>
          <w:sz w:val="28"/>
          <w:szCs w:val="21"/>
        </w:rPr>
      </w:pPr>
      <w:r>
        <w:rPr>
          <w:rFonts w:hint="eastAsia" w:ascii="宋体" w:hAnsi="宋体"/>
          <w:b/>
          <w:kern w:val="0"/>
          <w:sz w:val="28"/>
          <w:szCs w:val="21"/>
        </w:rPr>
        <w:t>二、报价文件评审</w:t>
      </w:r>
    </w:p>
    <w:p w14:paraId="66A94485">
      <w:pPr>
        <w:spacing w:line="360" w:lineRule="auto"/>
        <w:ind w:firstLine="480" w:firstLineChars="200"/>
        <w:rPr>
          <w:rFonts w:ascii="宋体" w:hAnsi="宋体"/>
          <w:sz w:val="24"/>
        </w:rPr>
      </w:pPr>
      <w:r>
        <w:rPr>
          <w:rFonts w:hint="eastAsia" w:ascii="宋体" w:hAnsi="宋体"/>
          <w:sz w:val="24"/>
        </w:rPr>
        <w:t>1、磋商</w:t>
      </w:r>
      <w:r>
        <w:rPr>
          <w:rFonts w:ascii="宋体" w:hAnsi="宋体"/>
          <w:sz w:val="24"/>
        </w:rPr>
        <w:t>小组</w:t>
      </w:r>
      <w:r>
        <w:rPr>
          <w:rFonts w:hint="eastAsia" w:ascii="宋体" w:hAnsi="宋体"/>
          <w:sz w:val="24"/>
        </w:rPr>
        <w:t>依据磋商文件的规定，对各供应商报价文件的符合性进行审查，必要时可要求供应商对其报价做出澄清、说明。</w:t>
      </w:r>
    </w:p>
    <w:p w14:paraId="7E6DCDDE">
      <w:pPr>
        <w:spacing w:line="360" w:lineRule="auto"/>
        <w:ind w:firstLine="480" w:firstLineChars="200"/>
        <w:rPr>
          <w:rFonts w:ascii="宋体" w:hAnsi="宋体"/>
          <w:sz w:val="24"/>
        </w:rPr>
      </w:pPr>
      <w:r>
        <w:rPr>
          <w:rFonts w:hint="eastAsia" w:ascii="宋体" w:hAnsi="宋体"/>
          <w:sz w:val="24"/>
        </w:rPr>
        <w:t>2、供应商提交最终报价。</w:t>
      </w:r>
    </w:p>
    <w:p w14:paraId="6D5957EC">
      <w:pPr>
        <w:spacing w:line="360" w:lineRule="auto"/>
        <w:ind w:firstLine="480" w:firstLineChars="200"/>
        <w:rPr>
          <w:rFonts w:ascii="宋体" w:hAnsi="宋体"/>
          <w:sz w:val="24"/>
        </w:rPr>
      </w:pPr>
      <w:r>
        <w:rPr>
          <w:rFonts w:hint="eastAsia" w:ascii="宋体" w:hAnsi="宋体"/>
          <w:sz w:val="24"/>
        </w:rPr>
        <w:t>3、磋商小组依据磋商文件的规定，对各供应商的最终报价的合理性进行审查，必要时可要求供应商对其报价做出澄清、说明。</w:t>
      </w:r>
    </w:p>
    <w:p w14:paraId="01465C99">
      <w:pPr>
        <w:spacing w:line="360" w:lineRule="auto"/>
        <w:ind w:firstLine="480" w:firstLineChars="200"/>
        <w:rPr>
          <w:rFonts w:ascii="宋体" w:hAnsi="宋体"/>
          <w:sz w:val="24"/>
        </w:rPr>
      </w:pPr>
      <w:r>
        <w:rPr>
          <w:rFonts w:hint="eastAsia" w:ascii="宋体" w:hAnsi="宋体"/>
          <w:sz w:val="24"/>
        </w:rPr>
        <w:t>4、磋商小组根据供应商的报价和评审</w:t>
      </w:r>
      <w:r>
        <w:rPr>
          <w:rFonts w:ascii="宋体" w:hAnsi="宋体"/>
          <w:sz w:val="24"/>
        </w:rPr>
        <w:t>标准</w:t>
      </w:r>
      <w:r>
        <w:rPr>
          <w:rFonts w:hint="eastAsia" w:ascii="宋体" w:hAnsi="宋体"/>
          <w:sz w:val="24"/>
        </w:rPr>
        <w:t>，计算各供应商的报价得分。</w:t>
      </w:r>
    </w:p>
    <w:p w14:paraId="040C87EC">
      <w:pPr>
        <w:spacing w:line="360" w:lineRule="auto"/>
        <w:rPr>
          <w:rFonts w:ascii="宋体" w:hAnsi="宋体"/>
          <w:b/>
          <w:kern w:val="0"/>
          <w:sz w:val="28"/>
          <w:szCs w:val="21"/>
        </w:rPr>
      </w:pPr>
      <w:r>
        <w:rPr>
          <w:rFonts w:hint="eastAsia" w:ascii="宋体" w:hAnsi="宋体"/>
          <w:b/>
          <w:kern w:val="0"/>
          <w:sz w:val="28"/>
          <w:szCs w:val="21"/>
        </w:rPr>
        <w:t>三、评审结果</w:t>
      </w:r>
    </w:p>
    <w:p w14:paraId="7B205EAC">
      <w:pPr>
        <w:spacing w:line="360" w:lineRule="auto"/>
        <w:ind w:firstLine="480" w:firstLineChars="200"/>
        <w:rPr>
          <w:rFonts w:ascii="宋体" w:hAnsi="宋体"/>
          <w:sz w:val="24"/>
        </w:rPr>
      </w:pPr>
      <w:r>
        <w:rPr>
          <w:rFonts w:hint="eastAsia" w:ascii="宋体" w:hAnsi="宋体"/>
          <w:sz w:val="24"/>
        </w:rPr>
        <w:t>评审结果汇总，供应商结果排序；起草评审报告，确定成交候选人；结果公布。</w:t>
      </w:r>
      <w:bookmarkEnd w:id="56"/>
      <w:bookmarkStart w:id="58" w:name="_Toc112339176"/>
    </w:p>
    <w:p w14:paraId="0DB1C9BD">
      <w:pPr>
        <w:spacing w:line="360" w:lineRule="auto"/>
        <w:rPr>
          <w:rFonts w:ascii="宋体" w:hAnsi="宋体"/>
          <w:b/>
          <w:kern w:val="0"/>
          <w:sz w:val="28"/>
          <w:szCs w:val="21"/>
        </w:rPr>
      </w:pPr>
      <w:r>
        <w:rPr>
          <w:rFonts w:hint="eastAsia" w:ascii="宋体" w:hAnsi="宋体"/>
          <w:b/>
          <w:kern w:val="0"/>
          <w:sz w:val="28"/>
          <w:szCs w:val="21"/>
        </w:rPr>
        <w:t>四、磋商内容及规定</w:t>
      </w:r>
      <w:bookmarkEnd w:id="57"/>
      <w:bookmarkEnd w:id="58"/>
    </w:p>
    <w:p w14:paraId="7E67A472">
      <w:pPr>
        <w:spacing w:line="360" w:lineRule="auto"/>
        <w:ind w:firstLine="480" w:firstLineChars="200"/>
        <w:rPr>
          <w:rFonts w:ascii="宋体" w:hAnsi="宋体"/>
          <w:sz w:val="24"/>
        </w:rPr>
      </w:pPr>
      <w:r>
        <w:rPr>
          <w:rFonts w:hint="eastAsia" w:ascii="宋体" w:hAnsi="宋体"/>
          <w:sz w:val="24"/>
        </w:rPr>
        <w:t>本评审办法采用综合评分法,总分100分。</w:t>
      </w:r>
    </w:p>
    <w:p w14:paraId="6D755674">
      <w:pPr>
        <w:spacing w:line="360" w:lineRule="auto"/>
        <w:ind w:firstLine="480" w:firstLineChars="200"/>
        <w:rPr>
          <w:rFonts w:ascii="宋体" w:hAnsi="宋体"/>
          <w:sz w:val="24"/>
        </w:rPr>
      </w:pPr>
      <w:r>
        <w:rPr>
          <w:rFonts w:ascii="宋体" w:hAnsi="宋体"/>
          <w:sz w:val="24"/>
        </w:rPr>
        <w:t>1</w:t>
      </w:r>
      <w:r>
        <w:rPr>
          <w:rFonts w:hint="eastAsia" w:ascii="宋体" w:hAnsi="宋体"/>
          <w:sz w:val="24"/>
        </w:rPr>
        <w:t>、资信商务及技术文件权重为90%，分值为90分，</w:t>
      </w:r>
    </w:p>
    <w:p w14:paraId="6143D955">
      <w:pPr>
        <w:spacing w:line="360" w:lineRule="auto"/>
        <w:ind w:firstLine="480" w:firstLineChars="200"/>
        <w:rPr>
          <w:rFonts w:ascii="宋体" w:hAnsi="宋体"/>
          <w:sz w:val="24"/>
        </w:rPr>
      </w:pPr>
      <w:r>
        <w:rPr>
          <w:rFonts w:hint="eastAsia" w:ascii="宋体" w:hAnsi="宋体"/>
          <w:sz w:val="24"/>
        </w:rPr>
        <w:t>（1）资信商务部分权重为</w:t>
      </w:r>
      <w:r>
        <w:rPr>
          <w:rFonts w:ascii="宋体" w:hAnsi="宋体"/>
          <w:sz w:val="24"/>
        </w:rPr>
        <w:t>5</w:t>
      </w:r>
      <w:r>
        <w:rPr>
          <w:rFonts w:hint="eastAsia" w:ascii="宋体" w:hAnsi="宋体"/>
          <w:sz w:val="24"/>
        </w:rPr>
        <w:t>%，分值为</w:t>
      </w:r>
      <w:r>
        <w:rPr>
          <w:rFonts w:ascii="宋体" w:hAnsi="宋体"/>
          <w:sz w:val="24"/>
        </w:rPr>
        <w:t>5</w:t>
      </w:r>
      <w:r>
        <w:rPr>
          <w:rFonts w:hint="eastAsia" w:ascii="宋体" w:hAnsi="宋体"/>
          <w:sz w:val="24"/>
        </w:rPr>
        <w:t>分，磋商小组在规定的分值内统一打分。</w:t>
      </w:r>
    </w:p>
    <w:p w14:paraId="5CD9897F">
      <w:pPr>
        <w:spacing w:line="360" w:lineRule="auto"/>
        <w:ind w:firstLine="480" w:firstLineChars="200"/>
        <w:rPr>
          <w:rFonts w:ascii="宋体" w:hAnsi="宋体"/>
          <w:sz w:val="24"/>
        </w:rPr>
      </w:pPr>
      <w:r>
        <w:rPr>
          <w:rFonts w:hint="eastAsia" w:ascii="宋体" w:hAnsi="宋体"/>
          <w:sz w:val="24"/>
        </w:rPr>
        <w:t>（2）技术部分权重为8</w:t>
      </w:r>
      <w:r>
        <w:rPr>
          <w:rFonts w:ascii="宋体" w:hAnsi="宋体"/>
          <w:sz w:val="24"/>
        </w:rPr>
        <w:t>5</w:t>
      </w:r>
      <w:r>
        <w:rPr>
          <w:rFonts w:hint="eastAsia" w:ascii="宋体" w:hAnsi="宋体"/>
          <w:sz w:val="24"/>
        </w:rPr>
        <w:t>%，分值为8</w:t>
      </w:r>
      <w:r>
        <w:rPr>
          <w:rFonts w:ascii="宋体" w:hAnsi="宋体"/>
          <w:sz w:val="24"/>
        </w:rPr>
        <w:t>5</w:t>
      </w:r>
      <w:r>
        <w:rPr>
          <w:rFonts w:hint="eastAsia" w:ascii="宋体" w:hAnsi="宋体"/>
          <w:sz w:val="24"/>
        </w:rPr>
        <w:t>分，磋商小组对各磋商文件的技术部分经充分审核、讨论后，在规定的分值内由磋商小组单独评定打分，评分保留一位小数。如果某个单项的打分超过所规定的分值范围，则该张打分表无效。</w:t>
      </w:r>
    </w:p>
    <w:p w14:paraId="2AAC26B0">
      <w:pPr>
        <w:spacing w:line="360" w:lineRule="auto"/>
        <w:ind w:firstLine="480" w:firstLineChars="200"/>
        <w:rPr>
          <w:rFonts w:ascii="宋体" w:hAnsi="宋体"/>
          <w:sz w:val="24"/>
        </w:rPr>
      </w:pPr>
      <w:r>
        <w:rPr>
          <w:rFonts w:ascii="宋体" w:hAnsi="宋体"/>
          <w:sz w:val="24"/>
        </w:rPr>
        <w:t>2</w:t>
      </w:r>
      <w:r>
        <w:rPr>
          <w:rFonts w:hint="eastAsia" w:ascii="宋体" w:hAnsi="宋体"/>
          <w:sz w:val="24"/>
        </w:rPr>
        <w:t>、磋商报价权重为10%，分值为10分，磋商小组按各磋商供应商的最终磋商报价统一计算。</w:t>
      </w:r>
    </w:p>
    <w:p w14:paraId="33E21622">
      <w:pPr>
        <w:spacing w:line="360" w:lineRule="auto"/>
        <w:ind w:firstLine="480" w:firstLineChars="200"/>
        <w:rPr>
          <w:rFonts w:ascii="宋体" w:hAnsi="宋体"/>
          <w:sz w:val="24"/>
        </w:rPr>
      </w:pPr>
      <w:bookmarkStart w:id="59" w:name="_Toc390938606"/>
      <w:bookmarkStart w:id="60" w:name="_Toc335664301"/>
      <w:r>
        <w:rPr>
          <w:rFonts w:ascii="宋体" w:hAnsi="宋体"/>
          <w:sz w:val="24"/>
        </w:rPr>
        <w:t>3</w:t>
      </w:r>
      <w:r>
        <w:rPr>
          <w:rFonts w:hint="eastAsia" w:ascii="宋体" w:hAnsi="宋体"/>
          <w:sz w:val="24"/>
        </w:rPr>
        <w:t>、磋商小组成员在规定的分值范围内独立打分，评分保留一位小数。</w:t>
      </w:r>
      <w:bookmarkStart w:id="61" w:name="_Toc112339177"/>
    </w:p>
    <w:p w14:paraId="760445B9">
      <w:pPr>
        <w:spacing w:line="360" w:lineRule="auto"/>
        <w:rPr>
          <w:rFonts w:ascii="宋体" w:hAnsi="宋体"/>
          <w:b/>
          <w:kern w:val="0"/>
          <w:sz w:val="28"/>
          <w:szCs w:val="21"/>
        </w:rPr>
      </w:pPr>
      <w:r>
        <w:rPr>
          <w:rFonts w:hint="eastAsia" w:ascii="宋体" w:hAnsi="宋体"/>
          <w:b/>
          <w:kern w:val="0"/>
          <w:sz w:val="28"/>
          <w:szCs w:val="21"/>
        </w:rPr>
        <w:t>五、评标办法和细则</w:t>
      </w:r>
      <w:bookmarkEnd w:id="61"/>
    </w:p>
    <w:p w14:paraId="3B342AA4">
      <w:pPr>
        <w:spacing w:line="360" w:lineRule="auto"/>
        <w:ind w:firstLine="482" w:firstLineChars="200"/>
        <w:jc w:val="left"/>
        <w:rPr>
          <w:rFonts w:ascii="宋体" w:hAnsi="宋体"/>
          <w:b/>
          <w:sz w:val="24"/>
        </w:rPr>
      </w:pPr>
      <w:r>
        <w:rPr>
          <w:rFonts w:hint="eastAsia" w:ascii="宋体" w:hAnsi="宋体"/>
          <w:b/>
          <w:sz w:val="24"/>
        </w:rPr>
        <w:t>资信商务及技术文件分值共90分，权重为90%。</w:t>
      </w:r>
    </w:p>
    <w:p w14:paraId="52B6AF8D">
      <w:pPr>
        <w:spacing w:line="360" w:lineRule="auto"/>
        <w:ind w:firstLine="482" w:firstLineChars="200"/>
        <w:jc w:val="left"/>
        <w:rPr>
          <w:rFonts w:ascii="宋体" w:hAnsi="宋体"/>
          <w:b/>
          <w:sz w:val="24"/>
        </w:rPr>
      </w:pPr>
      <w:r>
        <w:rPr>
          <w:rFonts w:ascii="宋体" w:hAnsi="宋体"/>
          <w:b/>
          <w:sz w:val="24"/>
        </w:rPr>
        <w:t>1</w:t>
      </w:r>
      <w:r>
        <w:rPr>
          <w:rFonts w:hint="eastAsia" w:ascii="宋体" w:hAnsi="宋体"/>
          <w:b/>
          <w:sz w:val="24"/>
        </w:rPr>
        <w:t>、资信商务部分共</w:t>
      </w:r>
      <w:r>
        <w:rPr>
          <w:rFonts w:ascii="宋体" w:hAnsi="宋体"/>
          <w:b/>
          <w:sz w:val="24"/>
        </w:rPr>
        <w:t>5</w:t>
      </w:r>
      <w:r>
        <w:rPr>
          <w:rFonts w:hint="eastAsia" w:ascii="宋体" w:hAnsi="宋体"/>
          <w:b/>
          <w:sz w:val="24"/>
        </w:rPr>
        <w:t>分，权重为</w:t>
      </w:r>
      <w:r>
        <w:rPr>
          <w:rFonts w:ascii="宋体" w:hAnsi="宋体"/>
          <w:b/>
          <w:sz w:val="24"/>
        </w:rPr>
        <w:t>5</w:t>
      </w:r>
      <w:r>
        <w:rPr>
          <w:rFonts w:hint="eastAsia" w:ascii="宋体" w:hAnsi="宋体"/>
          <w:b/>
          <w:sz w:val="24"/>
        </w:rPr>
        <w:t>%，由磋商小组成员统一打分。</w:t>
      </w:r>
    </w:p>
    <w:tbl>
      <w:tblPr>
        <w:tblStyle w:val="26"/>
        <w:tblW w:w="9073" w:type="dxa"/>
        <w:tblInd w:w="-3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9"/>
        <w:gridCol w:w="1418"/>
        <w:gridCol w:w="6946"/>
      </w:tblGrid>
      <w:tr w14:paraId="39D09C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9" w:hRule="atLeast"/>
        </w:trPr>
        <w:tc>
          <w:tcPr>
            <w:tcW w:w="709" w:type="dxa"/>
            <w:vAlign w:val="center"/>
          </w:tcPr>
          <w:p w14:paraId="1CB34AA1">
            <w:pPr>
              <w:spacing w:line="276" w:lineRule="auto"/>
              <w:jc w:val="center"/>
              <w:rPr>
                <w:rFonts w:ascii="宋体" w:hAnsi="宋体"/>
                <w:b/>
                <w:sz w:val="24"/>
              </w:rPr>
            </w:pPr>
            <w:r>
              <w:rPr>
                <w:rFonts w:hint="eastAsia" w:ascii="宋体" w:hAnsi="宋体"/>
                <w:b/>
                <w:sz w:val="24"/>
              </w:rPr>
              <w:t>序号</w:t>
            </w:r>
          </w:p>
        </w:tc>
        <w:tc>
          <w:tcPr>
            <w:tcW w:w="1418" w:type="dxa"/>
            <w:vAlign w:val="center"/>
          </w:tcPr>
          <w:p w14:paraId="5C573A3E">
            <w:pPr>
              <w:spacing w:line="276" w:lineRule="auto"/>
              <w:jc w:val="center"/>
              <w:rPr>
                <w:rFonts w:ascii="宋体" w:hAnsi="宋体"/>
                <w:b/>
                <w:sz w:val="24"/>
              </w:rPr>
            </w:pPr>
            <w:r>
              <w:rPr>
                <w:rFonts w:hint="eastAsia" w:ascii="宋体" w:hAnsi="宋体"/>
                <w:b/>
                <w:sz w:val="24"/>
              </w:rPr>
              <w:t>评审内容</w:t>
            </w:r>
          </w:p>
        </w:tc>
        <w:tc>
          <w:tcPr>
            <w:tcW w:w="6946" w:type="dxa"/>
            <w:vAlign w:val="center"/>
          </w:tcPr>
          <w:p w14:paraId="5F440398">
            <w:pPr>
              <w:spacing w:line="276" w:lineRule="auto"/>
              <w:jc w:val="center"/>
              <w:rPr>
                <w:rFonts w:ascii="宋体" w:hAnsi="宋体"/>
                <w:b/>
                <w:sz w:val="24"/>
              </w:rPr>
            </w:pPr>
            <w:r>
              <w:rPr>
                <w:rFonts w:hint="eastAsia" w:ascii="宋体" w:hAnsi="宋体"/>
                <w:b/>
                <w:sz w:val="24"/>
              </w:rPr>
              <w:t>评分标准</w:t>
            </w:r>
          </w:p>
        </w:tc>
      </w:tr>
      <w:tr w14:paraId="00101F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90" w:hRule="atLeast"/>
        </w:trPr>
        <w:tc>
          <w:tcPr>
            <w:tcW w:w="709" w:type="dxa"/>
            <w:vAlign w:val="center"/>
          </w:tcPr>
          <w:p w14:paraId="557F903D">
            <w:pPr>
              <w:spacing w:line="276" w:lineRule="auto"/>
              <w:jc w:val="center"/>
              <w:rPr>
                <w:rFonts w:ascii="宋体" w:hAnsi="宋体"/>
                <w:sz w:val="24"/>
              </w:rPr>
            </w:pPr>
            <w:r>
              <w:rPr>
                <w:rFonts w:hint="eastAsia" w:ascii="宋体" w:hAnsi="宋体"/>
                <w:sz w:val="24"/>
              </w:rPr>
              <w:t>1</w:t>
            </w:r>
          </w:p>
        </w:tc>
        <w:tc>
          <w:tcPr>
            <w:tcW w:w="1418" w:type="dxa"/>
            <w:vAlign w:val="center"/>
          </w:tcPr>
          <w:p w14:paraId="3F4C1D1D">
            <w:pPr>
              <w:tabs>
                <w:tab w:val="left" w:pos="0"/>
              </w:tabs>
              <w:autoSpaceDE w:val="0"/>
              <w:autoSpaceDN w:val="0"/>
              <w:adjustRightInd w:val="0"/>
              <w:spacing w:line="276" w:lineRule="auto"/>
              <w:jc w:val="center"/>
              <w:rPr>
                <w:rFonts w:ascii="宋体" w:hAnsi="宋体"/>
                <w:sz w:val="24"/>
              </w:rPr>
            </w:pPr>
            <w:r>
              <w:rPr>
                <w:rFonts w:hint="eastAsia" w:ascii="宋体" w:hAnsi="宋体"/>
                <w:sz w:val="24"/>
              </w:rPr>
              <w:t>供应商业绩（共</w:t>
            </w:r>
            <w:r>
              <w:rPr>
                <w:rFonts w:ascii="宋体" w:hAnsi="宋体"/>
                <w:sz w:val="24"/>
              </w:rPr>
              <w:t>5</w:t>
            </w:r>
            <w:r>
              <w:rPr>
                <w:rFonts w:hint="eastAsia" w:ascii="宋体" w:hAnsi="宋体"/>
                <w:sz w:val="24"/>
              </w:rPr>
              <w:t>分）</w:t>
            </w:r>
          </w:p>
        </w:tc>
        <w:tc>
          <w:tcPr>
            <w:tcW w:w="6946" w:type="dxa"/>
            <w:vAlign w:val="center"/>
          </w:tcPr>
          <w:p w14:paraId="483FAE9E">
            <w:pPr>
              <w:spacing w:line="276" w:lineRule="auto"/>
              <w:rPr>
                <w:rFonts w:ascii="宋体" w:hAnsi="宋体"/>
                <w:sz w:val="24"/>
              </w:rPr>
            </w:pPr>
            <w:r>
              <w:rPr>
                <w:rFonts w:hint="eastAsia" w:ascii="宋体" w:hAnsi="宋体"/>
                <w:sz w:val="24"/>
              </w:rPr>
              <w:t>供应商从20</w:t>
            </w:r>
            <w:r>
              <w:rPr>
                <w:rFonts w:ascii="宋体" w:hAnsi="宋体"/>
                <w:sz w:val="24"/>
              </w:rPr>
              <w:t>20</w:t>
            </w:r>
            <w:r>
              <w:rPr>
                <w:rFonts w:hint="eastAsia" w:ascii="宋体" w:hAnsi="宋体"/>
                <w:sz w:val="24"/>
              </w:rPr>
              <w:t>年1月1日起（以合同签订时间为准）至磋商截止之日止，具有类似项目业绩的，每个合同得</w:t>
            </w:r>
            <w:r>
              <w:rPr>
                <w:rFonts w:ascii="宋体" w:hAnsi="宋体"/>
                <w:sz w:val="24"/>
              </w:rPr>
              <w:t>1</w:t>
            </w:r>
            <w:r>
              <w:rPr>
                <w:rFonts w:hint="eastAsia" w:ascii="宋体" w:hAnsi="宋体"/>
                <w:sz w:val="24"/>
              </w:rPr>
              <w:t>分，最高得</w:t>
            </w:r>
            <w:r>
              <w:rPr>
                <w:rFonts w:ascii="宋体" w:hAnsi="宋体"/>
                <w:sz w:val="24"/>
              </w:rPr>
              <w:t>5</w:t>
            </w:r>
            <w:r>
              <w:rPr>
                <w:rFonts w:hint="eastAsia" w:ascii="宋体" w:hAnsi="宋体"/>
                <w:sz w:val="24"/>
              </w:rPr>
              <w:t>分。</w:t>
            </w:r>
          </w:p>
          <w:p w14:paraId="19605EF6">
            <w:pPr>
              <w:widowControl/>
              <w:spacing w:line="276" w:lineRule="auto"/>
              <w:jc w:val="left"/>
              <w:rPr>
                <w:rFonts w:ascii="宋体" w:hAnsi="宋体"/>
                <w:b/>
                <w:w w:val="95"/>
                <w:sz w:val="24"/>
              </w:rPr>
            </w:pPr>
            <w:r>
              <w:rPr>
                <w:rFonts w:hint="eastAsia" w:ascii="宋体" w:hAnsi="宋体"/>
                <w:b/>
                <w:w w:val="95"/>
                <w:sz w:val="24"/>
              </w:rPr>
              <w:t>1、合同扫描件导入资信商务及技术文件中，否则不得分。</w:t>
            </w:r>
          </w:p>
          <w:p w14:paraId="37DE4EF3">
            <w:pPr>
              <w:widowControl/>
              <w:spacing w:line="276" w:lineRule="auto"/>
              <w:jc w:val="left"/>
              <w:rPr>
                <w:rFonts w:ascii="宋体" w:hAnsi="宋体"/>
                <w:sz w:val="24"/>
              </w:rPr>
            </w:pPr>
            <w:r>
              <w:rPr>
                <w:rFonts w:hint="eastAsia" w:ascii="宋体" w:hAnsi="宋体"/>
                <w:b/>
                <w:w w:val="95"/>
                <w:sz w:val="24"/>
              </w:rPr>
              <w:t>2、是否属于类似业绩由磋商小组根据合同的内容、特点以及与本项目的类似程度等进行认定。</w:t>
            </w:r>
          </w:p>
        </w:tc>
      </w:tr>
    </w:tbl>
    <w:p w14:paraId="5A308C40">
      <w:pPr>
        <w:spacing w:line="360" w:lineRule="auto"/>
        <w:ind w:firstLine="482" w:firstLineChars="200"/>
        <w:jc w:val="left"/>
        <w:rPr>
          <w:rFonts w:ascii="宋体" w:hAnsi="宋体"/>
          <w:b/>
          <w:sz w:val="24"/>
        </w:rPr>
      </w:pPr>
    </w:p>
    <w:p w14:paraId="08D096BC">
      <w:pPr>
        <w:spacing w:line="360" w:lineRule="auto"/>
        <w:ind w:firstLine="482" w:firstLineChars="200"/>
        <w:jc w:val="left"/>
        <w:rPr>
          <w:rFonts w:ascii="宋体" w:hAnsi="宋体"/>
          <w:b/>
          <w:sz w:val="24"/>
        </w:rPr>
      </w:pPr>
      <w:r>
        <w:rPr>
          <w:rFonts w:ascii="宋体" w:hAnsi="宋体"/>
          <w:b/>
          <w:sz w:val="24"/>
        </w:rPr>
        <w:t>2</w:t>
      </w:r>
      <w:r>
        <w:rPr>
          <w:rFonts w:hint="eastAsia" w:ascii="宋体" w:hAnsi="宋体"/>
          <w:b/>
          <w:sz w:val="24"/>
        </w:rPr>
        <w:t>、技术部分共</w:t>
      </w:r>
      <w:r>
        <w:rPr>
          <w:rFonts w:ascii="宋体" w:hAnsi="宋体"/>
          <w:b/>
          <w:sz w:val="24"/>
        </w:rPr>
        <w:t>85</w:t>
      </w:r>
      <w:r>
        <w:rPr>
          <w:rFonts w:hint="eastAsia" w:ascii="宋体" w:hAnsi="宋体"/>
          <w:b/>
          <w:sz w:val="24"/>
        </w:rPr>
        <w:t>分，权重为</w:t>
      </w:r>
      <w:r>
        <w:rPr>
          <w:rFonts w:ascii="宋体" w:hAnsi="宋体"/>
          <w:b/>
          <w:sz w:val="24"/>
        </w:rPr>
        <w:t>85</w:t>
      </w:r>
      <w:r>
        <w:rPr>
          <w:rFonts w:hint="eastAsia" w:ascii="宋体" w:hAnsi="宋体"/>
          <w:b/>
          <w:sz w:val="24"/>
        </w:rPr>
        <w:t>%，由磋商小组成员独立打分。</w:t>
      </w:r>
    </w:p>
    <w:tbl>
      <w:tblPr>
        <w:tblStyle w:val="26"/>
        <w:tblW w:w="9073" w:type="dxa"/>
        <w:tblInd w:w="-34" w:type="dxa"/>
        <w:tblLayout w:type="autofit"/>
        <w:tblCellMar>
          <w:top w:w="0" w:type="dxa"/>
          <w:left w:w="108" w:type="dxa"/>
          <w:bottom w:w="0" w:type="dxa"/>
          <w:right w:w="108" w:type="dxa"/>
        </w:tblCellMar>
      </w:tblPr>
      <w:tblGrid>
        <w:gridCol w:w="709"/>
        <w:gridCol w:w="1418"/>
        <w:gridCol w:w="6946"/>
      </w:tblGrid>
      <w:tr w14:paraId="6E674895">
        <w:tblPrEx>
          <w:tblCellMar>
            <w:top w:w="0" w:type="dxa"/>
            <w:left w:w="108" w:type="dxa"/>
            <w:bottom w:w="0" w:type="dxa"/>
            <w:right w:w="108" w:type="dxa"/>
          </w:tblCellMar>
        </w:tblPrEx>
        <w:trPr>
          <w:trHeight w:val="592" w:hRule="atLeast"/>
        </w:trPr>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14:paraId="1DFBA5DE">
            <w:pPr>
              <w:widowControl/>
              <w:jc w:val="center"/>
              <w:rPr>
                <w:rFonts w:ascii="宋体" w:hAnsi="宋体" w:cs="宋体"/>
                <w:b/>
                <w:color w:val="000000"/>
                <w:kern w:val="0"/>
                <w:sz w:val="24"/>
              </w:rPr>
            </w:pPr>
            <w:r>
              <w:rPr>
                <w:rFonts w:hint="eastAsia" w:ascii="宋体" w:hAnsi="宋体" w:cs="宋体"/>
                <w:b/>
                <w:color w:val="000000"/>
                <w:kern w:val="0"/>
                <w:sz w:val="24"/>
              </w:rPr>
              <w:t>序号</w:t>
            </w:r>
          </w:p>
        </w:tc>
        <w:tc>
          <w:tcPr>
            <w:tcW w:w="1418" w:type="dxa"/>
            <w:tcBorders>
              <w:top w:val="single" w:color="auto" w:sz="8" w:space="0"/>
              <w:left w:val="nil"/>
              <w:bottom w:val="single" w:color="auto" w:sz="8" w:space="0"/>
              <w:right w:val="single" w:color="auto" w:sz="8" w:space="0"/>
            </w:tcBorders>
            <w:shd w:val="clear" w:color="auto" w:fill="auto"/>
            <w:vAlign w:val="center"/>
          </w:tcPr>
          <w:p w14:paraId="67B60948">
            <w:pPr>
              <w:widowControl/>
              <w:jc w:val="center"/>
              <w:rPr>
                <w:rFonts w:ascii="宋体" w:hAnsi="宋体" w:cs="宋体"/>
                <w:b/>
                <w:color w:val="000000"/>
                <w:kern w:val="0"/>
                <w:sz w:val="24"/>
              </w:rPr>
            </w:pPr>
            <w:r>
              <w:rPr>
                <w:rFonts w:hint="eastAsia" w:ascii="宋体" w:hAnsi="宋体" w:cs="宋体"/>
                <w:b/>
                <w:color w:val="000000"/>
                <w:kern w:val="0"/>
                <w:sz w:val="24"/>
              </w:rPr>
              <w:t>评审内容</w:t>
            </w:r>
          </w:p>
        </w:tc>
        <w:tc>
          <w:tcPr>
            <w:tcW w:w="6946" w:type="dxa"/>
            <w:tcBorders>
              <w:top w:val="single" w:color="auto" w:sz="8" w:space="0"/>
              <w:left w:val="nil"/>
              <w:bottom w:val="single" w:color="auto" w:sz="8" w:space="0"/>
              <w:right w:val="single" w:color="auto" w:sz="8" w:space="0"/>
            </w:tcBorders>
            <w:shd w:val="clear" w:color="auto" w:fill="auto"/>
            <w:vAlign w:val="center"/>
          </w:tcPr>
          <w:p w14:paraId="05F5F840">
            <w:pPr>
              <w:widowControl/>
              <w:jc w:val="center"/>
              <w:rPr>
                <w:rFonts w:ascii="宋体" w:hAnsi="宋体" w:cs="宋体"/>
                <w:b/>
                <w:color w:val="000000"/>
                <w:kern w:val="0"/>
                <w:sz w:val="24"/>
              </w:rPr>
            </w:pPr>
            <w:r>
              <w:rPr>
                <w:rFonts w:hint="eastAsia" w:ascii="宋体" w:hAnsi="宋体" w:cs="宋体"/>
                <w:b/>
                <w:color w:val="000000"/>
                <w:kern w:val="0"/>
                <w:sz w:val="24"/>
              </w:rPr>
              <w:t>评分标准（缺项为0分，否则不准打0分）</w:t>
            </w:r>
          </w:p>
        </w:tc>
      </w:tr>
      <w:tr w14:paraId="01823750">
        <w:tblPrEx>
          <w:tblCellMar>
            <w:top w:w="0" w:type="dxa"/>
            <w:left w:w="108" w:type="dxa"/>
            <w:bottom w:w="0" w:type="dxa"/>
            <w:right w:w="108" w:type="dxa"/>
          </w:tblCellMar>
        </w:tblPrEx>
        <w:trPr>
          <w:trHeight w:val="936" w:hRule="atLeast"/>
        </w:trPr>
        <w:tc>
          <w:tcPr>
            <w:tcW w:w="709" w:type="dxa"/>
            <w:vMerge w:val="restart"/>
            <w:tcBorders>
              <w:top w:val="nil"/>
              <w:left w:val="single" w:color="auto" w:sz="8" w:space="0"/>
              <w:right w:val="single" w:color="auto" w:sz="4" w:space="0"/>
            </w:tcBorders>
            <w:shd w:val="clear" w:color="auto" w:fill="auto"/>
            <w:vAlign w:val="center"/>
          </w:tcPr>
          <w:p w14:paraId="0CAC1DFF">
            <w:pPr>
              <w:widowControl/>
              <w:jc w:val="center"/>
              <w:rPr>
                <w:rFonts w:ascii="宋体" w:hAnsi="宋体" w:cs="宋体"/>
                <w:color w:val="000000"/>
                <w:kern w:val="0"/>
                <w:sz w:val="24"/>
                <w:highlight w:val="green"/>
              </w:rPr>
            </w:pPr>
            <w:r>
              <w:rPr>
                <w:rFonts w:hint="eastAsia" w:ascii="宋体" w:hAnsi="宋体" w:cs="宋体"/>
                <w:color w:val="000000"/>
                <w:kern w:val="0"/>
                <w:sz w:val="24"/>
              </w:rPr>
              <w:t>1</w:t>
            </w:r>
          </w:p>
        </w:tc>
        <w:tc>
          <w:tcPr>
            <w:tcW w:w="1418" w:type="dxa"/>
            <w:vMerge w:val="restart"/>
            <w:tcBorders>
              <w:top w:val="single" w:color="auto" w:sz="4" w:space="0"/>
              <w:left w:val="single" w:color="auto" w:sz="4" w:space="0"/>
              <w:right w:val="single" w:color="auto" w:sz="4" w:space="0"/>
            </w:tcBorders>
            <w:shd w:val="clear" w:color="auto" w:fill="auto"/>
            <w:vAlign w:val="center"/>
          </w:tcPr>
          <w:p w14:paraId="21FDF7F2">
            <w:pPr>
              <w:widowControl/>
              <w:spacing w:line="276" w:lineRule="auto"/>
              <w:jc w:val="center"/>
              <w:rPr>
                <w:rFonts w:ascii="宋体" w:hAnsi="宋体" w:cs="宋体"/>
                <w:kern w:val="0"/>
                <w:sz w:val="24"/>
              </w:rPr>
            </w:pPr>
            <w:r>
              <w:rPr>
                <w:rFonts w:hint="eastAsia" w:ascii="宋体" w:hAnsi="宋体" w:cs="宋体"/>
                <w:kern w:val="0"/>
                <w:sz w:val="24"/>
              </w:rPr>
              <w:t>项目实施方案（</w:t>
            </w:r>
            <w:r>
              <w:rPr>
                <w:rFonts w:ascii="宋体" w:hAnsi="宋体" w:cs="宋体"/>
                <w:kern w:val="0"/>
                <w:sz w:val="24"/>
              </w:rPr>
              <w:t>50</w:t>
            </w:r>
            <w:r>
              <w:rPr>
                <w:rFonts w:hint="eastAsia" w:ascii="宋体" w:hAnsi="宋体" w:cs="宋体"/>
                <w:kern w:val="0"/>
                <w:sz w:val="24"/>
              </w:rPr>
              <w:t>）</w:t>
            </w:r>
          </w:p>
        </w:tc>
        <w:tc>
          <w:tcPr>
            <w:tcW w:w="6946" w:type="dxa"/>
            <w:tcBorders>
              <w:top w:val="nil"/>
              <w:left w:val="single" w:color="auto" w:sz="4" w:space="0"/>
              <w:bottom w:val="single" w:color="auto" w:sz="4" w:space="0"/>
              <w:right w:val="single" w:color="auto" w:sz="8" w:space="0"/>
            </w:tcBorders>
            <w:shd w:val="clear" w:color="auto" w:fill="auto"/>
            <w:vAlign w:val="center"/>
          </w:tcPr>
          <w:p w14:paraId="3368D02D">
            <w:pPr>
              <w:widowControl/>
              <w:spacing w:line="276" w:lineRule="auto"/>
              <w:jc w:val="left"/>
              <w:rPr>
                <w:rFonts w:ascii="宋体" w:hAnsi="宋体" w:cs="宋体"/>
                <w:bCs/>
                <w:kern w:val="32"/>
                <w:sz w:val="24"/>
              </w:rPr>
            </w:pPr>
            <w:r>
              <w:rPr>
                <w:rFonts w:hint="eastAsia" w:ascii="宋体" w:hAnsi="宋体"/>
                <w:sz w:val="24"/>
              </w:rPr>
              <w:t>对本项目的理解，服务理念、等，由评委在分值范围内进行打分， 0-</w:t>
            </w:r>
            <w:r>
              <w:rPr>
                <w:rFonts w:ascii="宋体" w:hAnsi="宋体"/>
                <w:sz w:val="24"/>
              </w:rPr>
              <w:t>10</w:t>
            </w:r>
            <w:r>
              <w:rPr>
                <w:rFonts w:hint="eastAsia" w:ascii="宋体" w:hAnsi="宋体"/>
                <w:sz w:val="24"/>
              </w:rPr>
              <w:t>分。</w:t>
            </w:r>
          </w:p>
        </w:tc>
      </w:tr>
      <w:tr w14:paraId="534992B4">
        <w:tblPrEx>
          <w:tblCellMar>
            <w:top w:w="0" w:type="dxa"/>
            <w:left w:w="108" w:type="dxa"/>
            <w:bottom w:w="0" w:type="dxa"/>
            <w:right w:w="108" w:type="dxa"/>
          </w:tblCellMar>
        </w:tblPrEx>
        <w:trPr>
          <w:trHeight w:val="936" w:hRule="atLeast"/>
        </w:trPr>
        <w:tc>
          <w:tcPr>
            <w:tcW w:w="709" w:type="dxa"/>
            <w:vMerge w:val="continue"/>
            <w:tcBorders>
              <w:top w:val="nil"/>
              <w:left w:val="single" w:color="auto" w:sz="8" w:space="0"/>
              <w:right w:val="single" w:color="auto" w:sz="4" w:space="0"/>
            </w:tcBorders>
            <w:shd w:val="clear" w:color="auto" w:fill="auto"/>
            <w:vAlign w:val="center"/>
          </w:tcPr>
          <w:p w14:paraId="660FB8BE">
            <w:pPr>
              <w:widowControl/>
              <w:jc w:val="center"/>
              <w:rPr>
                <w:rFonts w:ascii="宋体" w:hAnsi="宋体" w:cs="宋体"/>
                <w:color w:val="000000"/>
                <w:kern w:val="0"/>
                <w:sz w:val="24"/>
              </w:rPr>
            </w:pPr>
          </w:p>
        </w:tc>
        <w:tc>
          <w:tcPr>
            <w:tcW w:w="1418" w:type="dxa"/>
            <w:vMerge w:val="continue"/>
            <w:tcBorders>
              <w:top w:val="single" w:color="auto" w:sz="4" w:space="0"/>
              <w:left w:val="single" w:color="auto" w:sz="4" w:space="0"/>
              <w:right w:val="single" w:color="auto" w:sz="4" w:space="0"/>
            </w:tcBorders>
            <w:shd w:val="clear" w:color="auto" w:fill="auto"/>
            <w:vAlign w:val="center"/>
          </w:tcPr>
          <w:p w14:paraId="783DA225">
            <w:pPr>
              <w:widowControl/>
              <w:spacing w:line="276" w:lineRule="auto"/>
              <w:jc w:val="center"/>
              <w:rPr>
                <w:rFonts w:ascii="宋体" w:hAnsi="宋体" w:cs="宋体"/>
                <w:kern w:val="0"/>
                <w:sz w:val="24"/>
              </w:rPr>
            </w:pPr>
          </w:p>
        </w:tc>
        <w:tc>
          <w:tcPr>
            <w:tcW w:w="6946" w:type="dxa"/>
            <w:tcBorders>
              <w:top w:val="nil"/>
              <w:left w:val="single" w:color="auto" w:sz="4" w:space="0"/>
              <w:bottom w:val="single" w:color="auto" w:sz="4" w:space="0"/>
              <w:right w:val="single" w:color="auto" w:sz="8" w:space="0"/>
            </w:tcBorders>
            <w:shd w:val="clear" w:color="auto" w:fill="auto"/>
            <w:vAlign w:val="center"/>
          </w:tcPr>
          <w:p w14:paraId="2FA2C24B">
            <w:pPr>
              <w:widowControl/>
              <w:spacing w:line="276" w:lineRule="auto"/>
              <w:jc w:val="left"/>
              <w:rPr>
                <w:rFonts w:ascii="宋体" w:hAnsi="宋体"/>
                <w:bCs/>
                <w:sz w:val="24"/>
              </w:rPr>
            </w:pPr>
            <w:r>
              <w:rPr>
                <w:rFonts w:hint="eastAsia" w:ascii="宋体" w:hAnsi="宋体"/>
                <w:bCs/>
                <w:sz w:val="24"/>
              </w:rPr>
              <w:t>普通公共多媒体教室运行维护方案，</w:t>
            </w:r>
            <w:r>
              <w:rPr>
                <w:rFonts w:hint="eastAsia" w:ascii="宋体" w:hAnsi="宋体"/>
                <w:sz w:val="24"/>
              </w:rPr>
              <w:t>由评委在分值范围内进行打分， 0-</w:t>
            </w:r>
            <w:r>
              <w:rPr>
                <w:rFonts w:ascii="宋体" w:hAnsi="宋体"/>
                <w:sz w:val="24"/>
              </w:rPr>
              <w:t>15</w:t>
            </w:r>
            <w:r>
              <w:rPr>
                <w:rFonts w:hint="eastAsia" w:ascii="宋体" w:hAnsi="宋体"/>
                <w:sz w:val="24"/>
              </w:rPr>
              <w:t>分。</w:t>
            </w:r>
          </w:p>
        </w:tc>
      </w:tr>
      <w:tr w14:paraId="1D76F78A">
        <w:tblPrEx>
          <w:tblCellMar>
            <w:top w:w="0" w:type="dxa"/>
            <w:left w:w="108" w:type="dxa"/>
            <w:bottom w:w="0" w:type="dxa"/>
            <w:right w:w="108" w:type="dxa"/>
          </w:tblCellMar>
        </w:tblPrEx>
        <w:trPr>
          <w:trHeight w:val="832" w:hRule="atLeast"/>
        </w:trPr>
        <w:tc>
          <w:tcPr>
            <w:tcW w:w="709" w:type="dxa"/>
            <w:vMerge w:val="continue"/>
            <w:tcBorders>
              <w:left w:val="single" w:color="auto" w:sz="8" w:space="0"/>
              <w:right w:val="single" w:color="auto" w:sz="4" w:space="0"/>
            </w:tcBorders>
            <w:shd w:val="clear" w:color="auto" w:fill="auto"/>
            <w:vAlign w:val="center"/>
          </w:tcPr>
          <w:p w14:paraId="37C7FD6C">
            <w:pPr>
              <w:widowControl/>
              <w:jc w:val="center"/>
              <w:rPr>
                <w:rFonts w:ascii="宋体" w:hAnsi="宋体" w:cs="宋体"/>
                <w:color w:val="000000"/>
                <w:kern w:val="0"/>
                <w:sz w:val="24"/>
                <w:highlight w:val="green"/>
              </w:rPr>
            </w:pPr>
          </w:p>
        </w:tc>
        <w:tc>
          <w:tcPr>
            <w:tcW w:w="1418" w:type="dxa"/>
            <w:vMerge w:val="continue"/>
            <w:tcBorders>
              <w:left w:val="single" w:color="auto" w:sz="4" w:space="0"/>
              <w:right w:val="single" w:color="auto" w:sz="4" w:space="0"/>
            </w:tcBorders>
            <w:shd w:val="clear" w:color="auto" w:fill="auto"/>
            <w:vAlign w:val="center"/>
          </w:tcPr>
          <w:p w14:paraId="107A9F88">
            <w:pPr>
              <w:spacing w:line="276" w:lineRule="auto"/>
              <w:jc w:val="center"/>
              <w:rPr>
                <w:rFonts w:ascii="宋体" w:hAnsi="宋体"/>
              </w:rPr>
            </w:pPr>
          </w:p>
        </w:tc>
        <w:tc>
          <w:tcPr>
            <w:tcW w:w="6946" w:type="dxa"/>
            <w:tcBorders>
              <w:top w:val="single" w:color="auto" w:sz="4" w:space="0"/>
              <w:left w:val="single" w:color="auto" w:sz="4" w:space="0"/>
              <w:bottom w:val="single" w:color="auto" w:sz="4" w:space="0"/>
              <w:right w:val="single" w:color="auto" w:sz="8" w:space="0"/>
            </w:tcBorders>
            <w:shd w:val="clear" w:color="auto" w:fill="auto"/>
            <w:vAlign w:val="center"/>
          </w:tcPr>
          <w:p w14:paraId="04E97C48">
            <w:pPr>
              <w:widowControl/>
              <w:spacing w:line="276" w:lineRule="auto"/>
              <w:jc w:val="left"/>
              <w:rPr>
                <w:rFonts w:ascii="宋体" w:hAnsi="宋体" w:cs="宋体"/>
                <w:bCs/>
                <w:kern w:val="32"/>
                <w:sz w:val="24"/>
              </w:rPr>
            </w:pPr>
            <w:r>
              <w:rPr>
                <w:rFonts w:hint="eastAsia" w:ascii="宋体" w:hAnsi="宋体"/>
                <w:bCs/>
                <w:sz w:val="24"/>
              </w:rPr>
              <w:t>智慧教室运行维护实施方案</w:t>
            </w:r>
            <w:r>
              <w:rPr>
                <w:rFonts w:hint="eastAsia" w:ascii="宋体" w:hAnsi="宋体" w:cs="宋体"/>
                <w:bCs/>
                <w:kern w:val="32"/>
                <w:sz w:val="24"/>
              </w:rPr>
              <w:t>：</w:t>
            </w:r>
            <w:r>
              <w:rPr>
                <w:rFonts w:hint="eastAsia" w:ascii="宋体" w:hAnsi="宋体"/>
                <w:sz w:val="24"/>
              </w:rPr>
              <w:t>由评委在分值范围内进行打分， 0-</w:t>
            </w:r>
            <w:r>
              <w:rPr>
                <w:rFonts w:ascii="宋体" w:hAnsi="宋体"/>
                <w:sz w:val="24"/>
              </w:rPr>
              <w:t>10</w:t>
            </w:r>
            <w:r>
              <w:rPr>
                <w:rFonts w:hint="eastAsia" w:ascii="宋体" w:hAnsi="宋体"/>
                <w:sz w:val="24"/>
              </w:rPr>
              <w:t>分。</w:t>
            </w:r>
          </w:p>
        </w:tc>
      </w:tr>
      <w:tr w14:paraId="32F01D9F">
        <w:tblPrEx>
          <w:tblCellMar>
            <w:top w:w="0" w:type="dxa"/>
            <w:left w:w="108" w:type="dxa"/>
            <w:bottom w:w="0" w:type="dxa"/>
            <w:right w:w="108" w:type="dxa"/>
          </w:tblCellMar>
        </w:tblPrEx>
        <w:trPr>
          <w:trHeight w:val="844" w:hRule="atLeast"/>
        </w:trPr>
        <w:tc>
          <w:tcPr>
            <w:tcW w:w="709" w:type="dxa"/>
            <w:vMerge w:val="continue"/>
            <w:tcBorders>
              <w:left w:val="single" w:color="auto" w:sz="8" w:space="0"/>
              <w:right w:val="single" w:color="auto" w:sz="4" w:space="0"/>
            </w:tcBorders>
            <w:shd w:val="clear" w:color="auto" w:fill="auto"/>
            <w:vAlign w:val="center"/>
          </w:tcPr>
          <w:p w14:paraId="7EEF2A58">
            <w:pPr>
              <w:widowControl/>
              <w:jc w:val="center"/>
              <w:rPr>
                <w:rFonts w:ascii="宋体" w:hAnsi="宋体" w:cs="宋体"/>
                <w:color w:val="000000"/>
                <w:kern w:val="0"/>
                <w:sz w:val="24"/>
                <w:highlight w:val="green"/>
              </w:rPr>
            </w:pPr>
          </w:p>
        </w:tc>
        <w:tc>
          <w:tcPr>
            <w:tcW w:w="1418" w:type="dxa"/>
            <w:vMerge w:val="continue"/>
            <w:tcBorders>
              <w:left w:val="single" w:color="auto" w:sz="4" w:space="0"/>
              <w:right w:val="single" w:color="auto" w:sz="4" w:space="0"/>
            </w:tcBorders>
            <w:shd w:val="clear" w:color="auto" w:fill="auto"/>
            <w:vAlign w:val="center"/>
          </w:tcPr>
          <w:p w14:paraId="4BCAA944">
            <w:pPr>
              <w:spacing w:line="276" w:lineRule="auto"/>
              <w:jc w:val="center"/>
              <w:rPr>
                <w:rFonts w:ascii="宋体" w:hAnsi="宋体"/>
              </w:rPr>
            </w:pPr>
          </w:p>
        </w:tc>
        <w:tc>
          <w:tcPr>
            <w:tcW w:w="6946" w:type="dxa"/>
            <w:tcBorders>
              <w:top w:val="single" w:color="auto" w:sz="4" w:space="0"/>
              <w:left w:val="single" w:color="auto" w:sz="4" w:space="0"/>
              <w:right w:val="single" w:color="auto" w:sz="8" w:space="0"/>
            </w:tcBorders>
            <w:shd w:val="clear" w:color="auto" w:fill="auto"/>
            <w:vAlign w:val="center"/>
          </w:tcPr>
          <w:p w14:paraId="4AE81C20">
            <w:pPr>
              <w:widowControl/>
              <w:spacing w:line="276" w:lineRule="auto"/>
              <w:jc w:val="left"/>
              <w:rPr>
                <w:rFonts w:ascii="宋体" w:hAnsi="宋体" w:cs="宋体"/>
                <w:bCs/>
                <w:kern w:val="32"/>
                <w:sz w:val="24"/>
              </w:rPr>
            </w:pPr>
            <w:r>
              <w:rPr>
                <w:rFonts w:hint="eastAsia" w:ascii="宋体" w:hAnsi="宋体"/>
                <w:bCs/>
                <w:sz w:val="24"/>
              </w:rPr>
              <w:t>重大活动和重要教学活动的技术保障实施方案</w:t>
            </w:r>
            <w:r>
              <w:rPr>
                <w:rFonts w:hint="eastAsia" w:ascii="宋体" w:hAnsi="宋体" w:cs="宋体"/>
                <w:bCs/>
                <w:kern w:val="0"/>
                <w:sz w:val="24"/>
              </w:rPr>
              <w:t>：</w:t>
            </w:r>
            <w:r>
              <w:rPr>
                <w:rFonts w:hint="eastAsia" w:ascii="宋体" w:hAnsi="宋体"/>
                <w:sz w:val="24"/>
              </w:rPr>
              <w:t>由评委在分值范围内进行打分， 0-</w:t>
            </w:r>
            <w:r>
              <w:rPr>
                <w:rFonts w:ascii="宋体" w:hAnsi="宋体"/>
                <w:sz w:val="24"/>
              </w:rPr>
              <w:t>10</w:t>
            </w:r>
            <w:r>
              <w:rPr>
                <w:rFonts w:hint="eastAsia" w:ascii="宋体" w:hAnsi="宋体"/>
                <w:sz w:val="24"/>
              </w:rPr>
              <w:t>分。</w:t>
            </w:r>
          </w:p>
        </w:tc>
      </w:tr>
      <w:tr w14:paraId="55174635">
        <w:tblPrEx>
          <w:tblCellMar>
            <w:top w:w="0" w:type="dxa"/>
            <w:left w:w="108" w:type="dxa"/>
            <w:bottom w:w="0" w:type="dxa"/>
            <w:right w:w="108" w:type="dxa"/>
          </w:tblCellMar>
        </w:tblPrEx>
        <w:trPr>
          <w:trHeight w:val="844" w:hRule="atLeast"/>
        </w:trPr>
        <w:tc>
          <w:tcPr>
            <w:tcW w:w="709" w:type="dxa"/>
            <w:tcBorders>
              <w:left w:val="single" w:color="auto" w:sz="8" w:space="0"/>
              <w:right w:val="single" w:color="auto" w:sz="4" w:space="0"/>
            </w:tcBorders>
            <w:shd w:val="clear" w:color="auto" w:fill="auto"/>
            <w:vAlign w:val="center"/>
          </w:tcPr>
          <w:p w14:paraId="65EB7F58">
            <w:pPr>
              <w:widowControl/>
              <w:jc w:val="center"/>
              <w:rPr>
                <w:rFonts w:ascii="宋体" w:hAnsi="宋体" w:cs="宋体"/>
                <w:color w:val="000000"/>
                <w:kern w:val="0"/>
                <w:sz w:val="24"/>
                <w:highlight w:val="green"/>
              </w:rPr>
            </w:pPr>
          </w:p>
        </w:tc>
        <w:tc>
          <w:tcPr>
            <w:tcW w:w="1418" w:type="dxa"/>
            <w:tcBorders>
              <w:left w:val="single" w:color="auto" w:sz="4" w:space="0"/>
              <w:right w:val="single" w:color="auto" w:sz="4" w:space="0"/>
            </w:tcBorders>
            <w:shd w:val="clear" w:color="auto" w:fill="auto"/>
            <w:vAlign w:val="center"/>
          </w:tcPr>
          <w:p w14:paraId="7A85699D">
            <w:pPr>
              <w:spacing w:line="276" w:lineRule="auto"/>
              <w:jc w:val="center"/>
              <w:rPr>
                <w:rFonts w:ascii="宋体" w:hAnsi="宋体"/>
              </w:rPr>
            </w:pPr>
          </w:p>
        </w:tc>
        <w:tc>
          <w:tcPr>
            <w:tcW w:w="6946" w:type="dxa"/>
            <w:tcBorders>
              <w:top w:val="single" w:color="auto" w:sz="4" w:space="0"/>
              <w:left w:val="single" w:color="auto" w:sz="4" w:space="0"/>
              <w:right w:val="single" w:color="auto" w:sz="8" w:space="0"/>
            </w:tcBorders>
            <w:shd w:val="clear" w:color="auto" w:fill="auto"/>
            <w:vAlign w:val="center"/>
          </w:tcPr>
          <w:p w14:paraId="22819F92">
            <w:pPr>
              <w:widowControl/>
              <w:spacing w:line="276" w:lineRule="auto"/>
              <w:jc w:val="left"/>
              <w:rPr>
                <w:rFonts w:ascii="宋体" w:hAnsi="宋体"/>
                <w:bCs/>
                <w:sz w:val="24"/>
              </w:rPr>
            </w:pPr>
            <w:r>
              <w:rPr>
                <w:rFonts w:hint="eastAsia" w:ascii="宋体" w:hAnsi="宋体"/>
                <w:bCs/>
                <w:sz w:val="24"/>
              </w:rPr>
              <w:t>支撑运维服务管理相关数据的信息系统、知识库建立以及维护数据归档等方案，</w:t>
            </w:r>
            <w:r>
              <w:rPr>
                <w:rFonts w:hint="eastAsia" w:ascii="宋体" w:hAnsi="宋体"/>
                <w:sz w:val="24"/>
              </w:rPr>
              <w:t>由评委在分值范围内进行打分， 0-</w:t>
            </w:r>
            <w:r>
              <w:rPr>
                <w:rFonts w:ascii="宋体" w:hAnsi="宋体"/>
                <w:sz w:val="24"/>
              </w:rPr>
              <w:t>5</w:t>
            </w:r>
            <w:r>
              <w:rPr>
                <w:rFonts w:hint="eastAsia" w:ascii="宋体" w:hAnsi="宋体"/>
                <w:sz w:val="24"/>
              </w:rPr>
              <w:t>分。</w:t>
            </w:r>
          </w:p>
        </w:tc>
      </w:tr>
      <w:tr w14:paraId="70398B16">
        <w:tblPrEx>
          <w:tblCellMar>
            <w:top w:w="0" w:type="dxa"/>
            <w:left w:w="108" w:type="dxa"/>
            <w:bottom w:w="0" w:type="dxa"/>
            <w:right w:w="108" w:type="dxa"/>
          </w:tblCellMar>
        </w:tblPrEx>
        <w:trPr>
          <w:trHeight w:val="2968" w:hRule="atLeast"/>
        </w:trPr>
        <w:tc>
          <w:tcPr>
            <w:tcW w:w="709" w:type="dxa"/>
            <w:tcBorders>
              <w:top w:val="single" w:color="auto" w:sz="4" w:space="0"/>
              <w:left w:val="single" w:color="auto" w:sz="8" w:space="0"/>
              <w:bottom w:val="single" w:color="auto" w:sz="8" w:space="0"/>
              <w:right w:val="single" w:color="auto" w:sz="4" w:space="0"/>
            </w:tcBorders>
            <w:shd w:val="clear" w:color="auto" w:fill="auto"/>
            <w:vAlign w:val="center"/>
          </w:tcPr>
          <w:p w14:paraId="0D2582E4">
            <w:pPr>
              <w:jc w:val="center"/>
              <w:rPr>
                <w:rFonts w:ascii="宋体" w:hAnsi="宋体" w:cs="宋体"/>
                <w:color w:val="000000"/>
                <w:kern w:val="0"/>
                <w:sz w:val="24"/>
                <w:highlight w:val="green"/>
              </w:rPr>
            </w:pPr>
            <w:r>
              <w:rPr>
                <w:rFonts w:hint="eastAsia" w:ascii="宋体" w:hAnsi="宋体" w:cs="宋体"/>
                <w:color w:val="000000"/>
                <w:kern w:val="0"/>
                <w:sz w:val="24"/>
              </w:rPr>
              <w:t>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B4E8BC9">
            <w:pPr>
              <w:jc w:val="center"/>
              <w:rPr>
                <w:rFonts w:ascii="宋体" w:hAnsi="宋体"/>
              </w:rPr>
            </w:pPr>
            <w:r>
              <w:rPr>
                <w:rFonts w:hint="eastAsia" w:ascii="宋体" w:hAnsi="宋体"/>
                <w:sz w:val="24"/>
              </w:rPr>
              <w:t>人员配备（</w:t>
            </w:r>
            <w:r>
              <w:rPr>
                <w:rFonts w:ascii="宋体" w:hAnsi="宋体"/>
                <w:sz w:val="24"/>
              </w:rPr>
              <w:t>15</w:t>
            </w:r>
            <w:r>
              <w:rPr>
                <w:rFonts w:hint="eastAsia" w:ascii="宋体" w:hAnsi="宋体"/>
                <w:sz w:val="24"/>
              </w:rPr>
              <w:t>分）</w:t>
            </w:r>
          </w:p>
        </w:tc>
        <w:tc>
          <w:tcPr>
            <w:tcW w:w="6946" w:type="dxa"/>
            <w:tcBorders>
              <w:top w:val="single" w:color="auto" w:sz="4" w:space="0"/>
              <w:left w:val="single" w:color="auto" w:sz="4" w:space="0"/>
              <w:bottom w:val="single" w:color="auto" w:sz="8" w:space="0"/>
              <w:right w:val="single" w:color="auto" w:sz="8" w:space="0"/>
            </w:tcBorders>
            <w:shd w:val="clear" w:color="auto" w:fill="auto"/>
            <w:vAlign w:val="center"/>
          </w:tcPr>
          <w:p w14:paraId="2414994C">
            <w:pPr>
              <w:widowControl/>
              <w:jc w:val="left"/>
              <w:rPr>
                <w:rFonts w:ascii="宋体" w:hAnsi="宋体"/>
                <w:sz w:val="24"/>
              </w:rPr>
            </w:pPr>
            <w:r>
              <w:rPr>
                <w:rFonts w:hint="eastAsia" w:ascii="宋体" w:hAnsi="宋体"/>
                <w:sz w:val="24"/>
              </w:rPr>
              <w:t>1、拟投入的负责人具有相应计算机类、电子类资格证书，每证得1分，本项最高</w:t>
            </w:r>
            <w:r>
              <w:rPr>
                <w:rFonts w:ascii="宋体" w:hAnsi="宋体"/>
                <w:sz w:val="24"/>
              </w:rPr>
              <w:t>2</w:t>
            </w:r>
            <w:r>
              <w:rPr>
                <w:rFonts w:hint="eastAsia" w:ascii="宋体" w:hAnsi="宋体"/>
                <w:sz w:val="24"/>
              </w:rPr>
              <w:t>分。</w:t>
            </w:r>
          </w:p>
          <w:p w14:paraId="214F5800">
            <w:pPr>
              <w:widowControl/>
              <w:jc w:val="left"/>
              <w:rPr>
                <w:rFonts w:ascii="宋体" w:hAnsi="宋体"/>
                <w:sz w:val="24"/>
              </w:rPr>
            </w:pPr>
            <w:r>
              <w:rPr>
                <w:rFonts w:hint="eastAsia" w:ascii="宋体" w:hAnsi="宋体"/>
                <w:sz w:val="24"/>
              </w:rPr>
              <w:t>2、拟投入的人员中，具有相应计算机类、电子类资格证书，每证得</w:t>
            </w:r>
            <w:r>
              <w:rPr>
                <w:rFonts w:ascii="宋体" w:hAnsi="宋体"/>
                <w:sz w:val="24"/>
              </w:rPr>
              <w:t>0.5</w:t>
            </w:r>
            <w:r>
              <w:rPr>
                <w:rFonts w:hint="eastAsia" w:ascii="宋体" w:hAnsi="宋体"/>
                <w:sz w:val="24"/>
              </w:rPr>
              <w:t>分，每人最高</w:t>
            </w:r>
            <w:r>
              <w:rPr>
                <w:rFonts w:ascii="宋体" w:hAnsi="宋体"/>
                <w:sz w:val="24"/>
              </w:rPr>
              <w:t>1.5</w:t>
            </w:r>
            <w:r>
              <w:rPr>
                <w:rFonts w:hint="eastAsia" w:ascii="宋体" w:hAnsi="宋体"/>
                <w:sz w:val="24"/>
              </w:rPr>
              <w:t>分，同一人就高取分不累加，本项最高</w:t>
            </w:r>
            <w:r>
              <w:rPr>
                <w:rFonts w:ascii="宋体" w:hAnsi="宋体"/>
                <w:sz w:val="24"/>
              </w:rPr>
              <w:t>3</w:t>
            </w:r>
            <w:r>
              <w:rPr>
                <w:rFonts w:hint="eastAsia" w:ascii="宋体" w:hAnsi="宋体"/>
                <w:sz w:val="24"/>
              </w:rPr>
              <w:t>分。</w:t>
            </w:r>
          </w:p>
          <w:p w14:paraId="0F64A76C">
            <w:pPr>
              <w:widowControl/>
              <w:jc w:val="left"/>
              <w:rPr>
                <w:rFonts w:ascii="宋体" w:hAnsi="宋体"/>
                <w:sz w:val="24"/>
              </w:rPr>
            </w:pPr>
            <w:r>
              <w:rPr>
                <w:rFonts w:hint="eastAsia" w:ascii="宋体" w:hAnsi="宋体"/>
                <w:sz w:val="24"/>
              </w:rPr>
              <w:t>3、拟投入的常驻人员超过2人的，每多一人加5分，本项最高</w:t>
            </w:r>
            <w:r>
              <w:rPr>
                <w:rFonts w:ascii="宋体" w:hAnsi="宋体"/>
                <w:sz w:val="24"/>
              </w:rPr>
              <w:t>10</w:t>
            </w:r>
            <w:r>
              <w:rPr>
                <w:rFonts w:hint="eastAsia" w:ascii="宋体" w:hAnsi="宋体"/>
                <w:sz w:val="24"/>
              </w:rPr>
              <w:t>分。</w:t>
            </w:r>
          </w:p>
          <w:p w14:paraId="0ED7B376">
            <w:pPr>
              <w:widowControl/>
              <w:jc w:val="left"/>
              <w:rPr>
                <w:rFonts w:ascii="宋体" w:hAnsi="宋体" w:cs="宋体"/>
                <w:kern w:val="0"/>
                <w:sz w:val="24"/>
              </w:rPr>
            </w:pPr>
            <w:r>
              <w:rPr>
                <w:rFonts w:hint="eastAsia" w:ascii="宋体" w:hAnsi="宋体"/>
                <w:b/>
                <w:sz w:val="24"/>
              </w:rPr>
              <w:t>证书扫描件导入资信商务及技术文件中，否则不得分。</w:t>
            </w:r>
          </w:p>
        </w:tc>
      </w:tr>
      <w:tr w14:paraId="56861CF0">
        <w:tblPrEx>
          <w:tblCellMar>
            <w:top w:w="0" w:type="dxa"/>
            <w:left w:w="108" w:type="dxa"/>
            <w:bottom w:w="0" w:type="dxa"/>
            <w:right w:w="108" w:type="dxa"/>
          </w:tblCellMar>
        </w:tblPrEx>
        <w:trPr>
          <w:trHeight w:val="1173" w:hRule="atLeast"/>
        </w:trPr>
        <w:tc>
          <w:tcPr>
            <w:tcW w:w="709" w:type="dxa"/>
            <w:vMerge w:val="restart"/>
            <w:tcBorders>
              <w:top w:val="nil"/>
              <w:left w:val="single" w:color="auto" w:sz="8" w:space="0"/>
              <w:right w:val="single" w:color="auto" w:sz="8" w:space="0"/>
            </w:tcBorders>
            <w:shd w:val="clear" w:color="auto" w:fill="auto"/>
            <w:vAlign w:val="center"/>
          </w:tcPr>
          <w:p w14:paraId="4DB1ABA2">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418" w:type="dxa"/>
            <w:vMerge w:val="restart"/>
            <w:tcBorders>
              <w:top w:val="single" w:color="auto" w:sz="4" w:space="0"/>
              <w:left w:val="nil"/>
              <w:right w:val="single" w:color="auto" w:sz="8" w:space="0"/>
            </w:tcBorders>
            <w:shd w:val="clear" w:color="auto" w:fill="auto"/>
            <w:vAlign w:val="center"/>
          </w:tcPr>
          <w:p w14:paraId="10A1D49A">
            <w:pPr>
              <w:widowControl/>
              <w:spacing w:line="276" w:lineRule="auto"/>
              <w:jc w:val="left"/>
              <w:rPr>
                <w:rFonts w:ascii="宋体" w:hAnsi="宋体" w:cs="宋体"/>
                <w:kern w:val="0"/>
                <w:sz w:val="24"/>
              </w:rPr>
            </w:pPr>
            <w:r>
              <w:rPr>
                <w:rFonts w:hint="eastAsia" w:ascii="宋体" w:hAnsi="宋体"/>
                <w:sz w:val="24"/>
              </w:rPr>
              <w:t>运维服务质量保证措施（</w:t>
            </w:r>
            <w:r>
              <w:rPr>
                <w:rFonts w:ascii="宋体" w:hAnsi="宋体"/>
                <w:sz w:val="24"/>
              </w:rPr>
              <w:t>10</w:t>
            </w:r>
            <w:r>
              <w:rPr>
                <w:rFonts w:hint="eastAsia" w:ascii="宋体" w:hAnsi="宋体"/>
                <w:sz w:val="24"/>
              </w:rPr>
              <w:t>分）</w:t>
            </w:r>
          </w:p>
        </w:tc>
        <w:tc>
          <w:tcPr>
            <w:tcW w:w="6946" w:type="dxa"/>
            <w:tcBorders>
              <w:top w:val="nil"/>
              <w:left w:val="nil"/>
              <w:bottom w:val="single" w:color="auto" w:sz="4" w:space="0"/>
              <w:right w:val="single" w:color="auto" w:sz="8" w:space="0"/>
            </w:tcBorders>
            <w:shd w:val="clear" w:color="auto" w:fill="auto"/>
            <w:vAlign w:val="center"/>
          </w:tcPr>
          <w:p w14:paraId="18FE14A5">
            <w:pPr>
              <w:widowControl/>
              <w:jc w:val="left"/>
              <w:rPr>
                <w:rFonts w:ascii="宋体" w:hAnsi="宋体" w:cs="宋体"/>
                <w:kern w:val="0"/>
                <w:sz w:val="24"/>
              </w:rPr>
            </w:pPr>
            <w:r>
              <w:rPr>
                <w:rFonts w:hint="eastAsia" w:ascii="宋体" w:hAnsi="宋体"/>
                <w:sz w:val="24"/>
              </w:rPr>
              <w:t>根据供应商提供的普通公共多媒体教室运行维护质量保证措施，由评委在分值范围内进行打分， 0-</w:t>
            </w:r>
            <w:r>
              <w:rPr>
                <w:rFonts w:ascii="宋体" w:hAnsi="宋体"/>
                <w:sz w:val="24"/>
              </w:rPr>
              <w:t>4</w:t>
            </w:r>
            <w:r>
              <w:rPr>
                <w:rFonts w:hint="eastAsia" w:ascii="宋体" w:hAnsi="宋体"/>
                <w:sz w:val="24"/>
              </w:rPr>
              <w:t>分。</w:t>
            </w:r>
          </w:p>
        </w:tc>
      </w:tr>
      <w:tr w14:paraId="56D34F3F">
        <w:tblPrEx>
          <w:tblCellMar>
            <w:top w:w="0" w:type="dxa"/>
            <w:left w:w="108" w:type="dxa"/>
            <w:bottom w:w="0" w:type="dxa"/>
            <w:right w:w="108" w:type="dxa"/>
          </w:tblCellMar>
        </w:tblPrEx>
        <w:trPr>
          <w:trHeight w:val="1137" w:hRule="atLeast"/>
        </w:trPr>
        <w:tc>
          <w:tcPr>
            <w:tcW w:w="709" w:type="dxa"/>
            <w:vMerge w:val="continue"/>
            <w:tcBorders>
              <w:left w:val="single" w:color="auto" w:sz="8" w:space="0"/>
              <w:right w:val="single" w:color="auto" w:sz="8" w:space="0"/>
            </w:tcBorders>
            <w:shd w:val="clear" w:color="auto" w:fill="auto"/>
            <w:vAlign w:val="center"/>
          </w:tcPr>
          <w:p w14:paraId="006EF098">
            <w:pPr>
              <w:widowControl/>
              <w:jc w:val="center"/>
              <w:rPr>
                <w:rFonts w:ascii="宋体" w:hAnsi="宋体" w:cs="宋体"/>
                <w:color w:val="000000"/>
                <w:kern w:val="0"/>
                <w:sz w:val="24"/>
              </w:rPr>
            </w:pPr>
          </w:p>
        </w:tc>
        <w:tc>
          <w:tcPr>
            <w:tcW w:w="1418" w:type="dxa"/>
            <w:vMerge w:val="continue"/>
            <w:tcBorders>
              <w:left w:val="nil"/>
              <w:right w:val="single" w:color="auto" w:sz="8" w:space="0"/>
            </w:tcBorders>
            <w:shd w:val="clear" w:color="auto" w:fill="auto"/>
            <w:vAlign w:val="center"/>
          </w:tcPr>
          <w:p w14:paraId="61E7219C">
            <w:pPr>
              <w:widowControl/>
              <w:spacing w:line="276" w:lineRule="auto"/>
              <w:jc w:val="left"/>
              <w:rPr>
                <w:rFonts w:ascii="宋体" w:hAnsi="宋体" w:cs="宋体"/>
                <w:kern w:val="0"/>
                <w:sz w:val="24"/>
              </w:rPr>
            </w:pPr>
          </w:p>
        </w:tc>
        <w:tc>
          <w:tcPr>
            <w:tcW w:w="6946" w:type="dxa"/>
            <w:tcBorders>
              <w:top w:val="single" w:color="auto" w:sz="4" w:space="0"/>
              <w:left w:val="nil"/>
              <w:bottom w:val="single" w:color="auto" w:sz="4" w:space="0"/>
              <w:right w:val="single" w:color="auto" w:sz="8" w:space="0"/>
            </w:tcBorders>
            <w:shd w:val="clear" w:color="auto" w:fill="auto"/>
            <w:vAlign w:val="center"/>
          </w:tcPr>
          <w:p w14:paraId="3995C5E5">
            <w:pPr>
              <w:widowControl/>
              <w:jc w:val="left"/>
              <w:rPr>
                <w:rFonts w:ascii="宋体" w:hAnsi="宋体" w:cs="宋体"/>
                <w:kern w:val="0"/>
                <w:sz w:val="24"/>
              </w:rPr>
            </w:pPr>
            <w:r>
              <w:rPr>
                <w:rFonts w:hint="eastAsia" w:ascii="宋体" w:hAnsi="宋体"/>
                <w:sz w:val="24"/>
              </w:rPr>
              <w:t>根据供应商提供的</w:t>
            </w:r>
            <w:r>
              <w:t>智慧教室</w:t>
            </w:r>
            <w:r>
              <w:rPr>
                <w:rFonts w:hint="eastAsia"/>
              </w:rPr>
              <w:t>运行</w:t>
            </w:r>
            <w:r>
              <w:rPr>
                <w:rFonts w:hint="eastAsia" w:ascii="宋体" w:hAnsi="宋体"/>
                <w:sz w:val="24"/>
              </w:rPr>
              <w:t>维护质量保证措施，由评委在分值范围内进行打分， 0-</w:t>
            </w:r>
            <w:r>
              <w:rPr>
                <w:rFonts w:ascii="宋体" w:hAnsi="宋体"/>
                <w:sz w:val="24"/>
              </w:rPr>
              <w:t>3</w:t>
            </w:r>
            <w:r>
              <w:rPr>
                <w:rFonts w:hint="eastAsia" w:ascii="宋体" w:hAnsi="宋体"/>
                <w:sz w:val="24"/>
              </w:rPr>
              <w:t>分。</w:t>
            </w:r>
          </w:p>
        </w:tc>
      </w:tr>
      <w:tr w14:paraId="424051E4">
        <w:tblPrEx>
          <w:tblCellMar>
            <w:top w:w="0" w:type="dxa"/>
            <w:left w:w="108" w:type="dxa"/>
            <w:bottom w:w="0" w:type="dxa"/>
            <w:right w:w="108" w:type="dxa"/>
          </w:tblCellMar>
        </w:tblPrEx>
        <w:trPr>
          <w:trHeight w:val="1494" w:hRule="atLeast"/>
        </w:trPr>
        <w:tc>
          <w:tcPr>
            <w:tcW w:w="709" w:type="dxa"/>
            <w:vMerge w:val="continue"/>
            <w:tcBorders>
              <w:left w:val="single" w:color="auto" w:sz="8" w:space="0"/>
              <w:bottom w:val="single" w:color="auto" w:sz="4" w:space="0"/>
              <w:right w:val="single" w:color="auto" w:sz="8" w:space="0"/>
            </w:tcBorders>
            <w:shd w:val="clear" w:color="auto" w:fill="auto"/>
            <w:vAlign w:val="center"/>
          </w:tcPr>
          <w:p w14:paraId="6C678E67">
            <w:pPr>
              <w:widowControl/>
              <w:jc w:val="center"/>
              <w:rPr>
                <w:rFonts w:ascii="宋体" w:hAnsi="宋体" w:cs="宋体"/>
                <w:color w:val="000000"/>
                <w:kern w:val="0"/>
                <w:sz w:val="24"/>
              </w:rPr>
            </w:pPr>
          </w:p>
        </w:tc>
        <w:tc>
          <w:tcPr>
            <w:tcW w:w="1418" w:type="dxa"/>
            <w:vMerge w:val="continue"/>
            <w:tcBorders>
              <w:left w:val="nil"/>
              <w:bottom w:val="single" w:color="auto" w:sz="4" w:space="0"/>
              <w:right w:val="single" w:color="auto" w:sz="8" w:space="0"/>
            </w:tcBorders>
            <w:shd w:val="clear" w:color="auto" w:fill="auto"/>
            <w:vAlign w:val="center"/>
          </w:tcPr>
          <w:p w14:paraId="3B39AD16">
            <w:pPr>
              <w:widowControl/>
              <w:spacing w:line="276" w:lineRule="auto"/>
              <w:jc w:val="left"/>
              <w:rPr>
                <w:rFonts w:ascii="宋体" w:hAnsi="宋体" w:cs="宋体"/>
                <w:kern w:val="0"/>
                <w:sz w:val="24"/>
              </w:rPr>
            </w:pPr>
          </w:p>
        </w:tc>
        <w:tc>
          <w:tcPr>
            <w:tcW w:w="6946" w:type="dxa"/>
            <w:tcBorders>
              <w:top w:val="single" w:color="auto" w:sz="4" w:space="0"/>
              <w:left w:val="nil"/>
              <w:bottom w:val="single" w:color="auto" w:sz="4" w:space="0"/>
              <w:right w:val="single" w:color="auto" w:sz="8" w:space="0"/>
            </w:tcBorders>
            <w:shd w:val="clear" w:color="auto" w:fill="auto"/>
            <w:vAlign w:val="center"/>
          </w:tcPr>
          <w:p w14:paraId="0F9DA581">
            <w:pPr>
              <w:widowControl/>
              <w:jc w:val="left"/>
              <w:rPr>
                <w:rFonts w:ascii="宋体" w:hAnsi="宋体" w:cs="宋体"/>
                <w:kern w:val="0"/>
                <w:sz w:val="24"/>
              </w:rPr>
            </w:pPr>
            <w:r>
              <w:rPr>
                <w:rFonts w:hint="eastAsia" w:ascii="宋体" w:hAnsi="宋体"/>
                <w:sz w:val="24"/>
              </w:rPr>
              <w:t>根据供应商提供的重大活动和重要教学活动的技术保障质量保证措施，由评委在分值范围内进行打分， 0-</w:t>
            </w:r>
            <w:r>
              <w:rPr>
                <w:rFonts w:ascii="宋体" w:hAnsi="宋体"/>
                <w:sz w:val="24"/>
              </w:rPr>
              <w:t>3</w:t>
            </w:r>
            <w:r>
              <w:rPr>
                <w:rFonts w:hint="eastAsia" w:ascii="宋体" w:hAnsi="宋体"/>
                <w:sz w:val="24"/>
              </w:rPr>
              <w:t>分。</w:t>
            </w:r>
          </w:p>
        </w:tc>
      </w:tr>
      <w:tr w14:paraId="083CBB0E">
        <w:tblPrEx>
          <w:tblCellMar>
            <w:top w:w="0" w:type="dxa"/>
            <w:left w:w="108" w:type="dxa"/>
            <w:bottom w:w="0" w:type="dxa"/>
            <w:right w:w="108" w:type="dxa"/>
          </w:tblCellMar>
        </w:tblPrEx>
        <w:trPr>
          <w:trHeight w:val="1188" w:hRule="atLeast"/>
        </w:trPr>
        <w:tc>
          <w:tcPr>
            <w:tcW w:w="709" w:type="dxa"/>
            <w:tcBorders>
              <w:left w:val="single" w:color="auto" w:sz="8" w:space="0"/>
              <w:bottom w:val="single" w:color="auto" w:sz="8" w:space="0"/>
              <w:right w:val="single" w:color="auto" w:sz="8" w:space="0"/>
            </w:tcBorders>
            <w:shd w:val="clear" w:color="auto" w:fill="auto"/>
            <w:vAlign w:val="center"/>
          </w:tcPr>
          <w:p w14:paraId="7D03D1C8">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1418" w:type="dxa"/>
            <w:tcBorders>
              <w:left w:val="nil"/>
              <w:bottom w:val="single" w:color="auto" w:sz="8" w:space="0"/>
              <w:right w:val="single" w:color="auto" w:sz="8" w:space="0"/>
            </w:tcBorders>
            <w:shd w:val="clear" w:color="auto" w:fill="auto"/>
            <w:vAlign w:val="center"/>
          </w:tcPr>
          <w:p w14:paraId="72B861DC">
            <w:pPr>
              <w:widowControl/>
              <w:spacing w:line="276" w:lineRule="auto"/>
              <w:jc w:val="left"/>
              <w:rPr>
                <w:rFonts w:ascii="宋体" w:hAnsi="宋体" w:cs="宋体"/>
                <w:kern w:val="0"/>
                <w:sz w:val="24"/>
              </w:rPr>
            </w:pPr>
            <w:r>
              <w:rPr>
                <w:rFonts w:hint="eastAsia" w:ascii="宋体" w:hAnsi="宋体" w:cs="宋体"/>
                <w:kern w:val="0"/>
                <w:sz w:val="24"/>
              </w:rPr>
              <w:t>培训计划（4分）</w:t>
            </w:r>
          </w:p>
        </w:tc>
        <w:tc>
          <w:tcPr>
            <w:tcW w:w="6946" w:type="dxa"/>
            <w:tcBorders>
              <w:top w:val="single" w:color="auto" w:sz="4" w:space="0"/>
              <w:left w:val="nil"/>
              <w:bottom w:val="single" w:color="auto" w:sz="8" w:space="0"/>
              <w:right w:val="single" w:color="auto" w:sz="8" w:space="0"/>
            </w:tcBorders>
            <w:shd w:val="clear" w:color="auto" w:fill="auto"/>
            <w:vAlign w:val="center"/>
          </w:tcPr>
          <w:p w14:paraId="191F972A">
            <w:pPr>
              <w:widowControl/>
              <w:spacing w:line="276" w:lineRule="auto"/>
              <w:jc w:val="left"/>
              <w:rPr>
                <w:rFonts w:ascii="宋体" w:hAnsi="宋体" w:cs="宋体"/>
                <w:kern w:val="0"/>
                <w:sz w:val="24"/>
              </w:rPr>
            </w:pPr>
            <w:r>
              <w:rPr>
                <w:rFonts w:hint="eastAsia" w:ascii="宋体" w:hAnsi="宋体" w:cs="宋体"/>
                <w:kern w:val="0"/>
                <w:sz w:val="24"/>
              </w:rPr>
              <w:t>根据供应商针对本项目</w:t>
            </w:r>
            <w:r>
              <w:rPr>
                <w:rFonts w:hint="eastAsia" w:ascii="宋体" w:hAnsi="宋体"/>
                <w:sz w:val="24"/>
              </w:rPr>
              <w:t>制定的驻点人员培训计划</w:t>
            </w:r>
            <w:r>
              <w:rPr>
                <w:rFonts w:hint="eastAsia" w:ascii="宋体" w:hAnsi="宋体" w:cs="宋体"/>
                <w:kern w:val="0"/>
                <w:sz w:val="24"/>
              </w:rPr>
              <w:t>，培训计划的内容、时间、频率等是否符合采购需求，</w:t>
            </w:r>
            <w:r>
              <w:rPr>
                <w:rFonts w:hint="eastAsia" w:ascii="宋体" w:hAnsi="宋体"/>
                <w:sz w:val="24"/>
              </w:rPr>
              <w:t>由评委在分值范围内进行打分， 0-4分。</w:t>
            </w:r>
          </w:p>
        </w:tc>
      </w:tr>
      <w:tr w14:paraId="6A416D87">
        <w:tblPrEx>
          <w:tblCellMar>
            <w:top w:w="0" w:type="dxa"/>
            <w:left w:w="108" w:type="dxa"/>
            <w:bottom w:w="0" w:type="dxa"/>
            <w:right w:w="108" w:type="dxa"/>
          </w:tblCellMar>
        </w:tblPrEx>
        <w:trPr>
          <w:trHeight w:val="1222"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BE0D09A">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108B9AC">
            <w:pPr>
              <w:jc w:val="center"/>
              <w:rPr>
                <w:rFonts w:ascii="宋体" w:hAnsi="宋体"/>
                <w:sz w:val="24"/>
              </w:rPr>
            </w:pPr>
            <w:r>
              <w:rPr>
                <w:rFonts w:hint="eastAsia" w:ascii="宋体" w:hAnsi="宋体"/>
                <w:sz w:val="24"/>
              </w:rPr>
              <w:t>拟投入设备情况（</w:t>
            </w:r>
            <w:r>
              <w:rPr>
                <w:rFonts w:ascii="宋体" w:hAnsi="宋体"/>
                <w:sz w:val="24"/>
              </w:rPr>
              <w:t>6</w:t>
            </w:r>
            <w:r>
              <w:rPr>
                <w:rFonts w:hint="eastAsia" w:ascii="宋体" w:hAnsi="宋体"/>
                <w:sz w:val="24"/>
              </w:rPr>
              <w:t>分）</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14:paraId="3EAE959B">
            <w:pPr>
              <w:spacing w:line="276" w:lineRule="auto"/>
              <w:jc w:val="left"/>
              <w:rPr>
                <w:rFonts w:ascii="宋体" w:hAnsi="宋体"/>
                <w:sz w:val="24"/>
              </w:rPr>
            </w:pPr>
            <w:r>
              <w:rPr>
                <w:rFonts w:hint="eastAsia" w:ascii="宋体" w:hAnsi="宋体"/>
                <w:sz w:val="24"/>
              </w:rPr>
              <w:t>根据供应商提供的自备设备清单，不限维修工具、交通工具等，是否充分考虑了采购单位后期运维质量的保证以及故障维修的便捷，由评委在分值范围内进行打分， 0-</w:t>
            </w:r>
            <w:r>
              <w:rPr>
                <w:rFonts w:ascii="宋体" w:hAnsi="宋体"/>
                <w:sz w:val="24"/>
              </w:rPr>
              <w:t>6</w:t>
            </w:r>
            <w:r>
              <w:rPr>
                <w:rFonts w:hint="eastAsia" w:ascii="宋体" w:hAnsi="宋体"/>
                <w:sz w:val="24"/>
              </w:rPr>
              <w:t>分。</w:t>
            </w:r>
          </w:p>
        </w:tc>
      </w:tr>
    </w:tbl>
    <w:p w14:paraId="6085BA23">
      <w:pPr>
        <w:spacing w:before="240" w:line="360" w:lineRule="auto"/>
        <w:ind w:firstLine="482" w:firstLineChars="200"/>
        <w:rPr>
          <w:rFonts w:ascii="宋体" w:hAnsi="宋体"/>
          <w:b/>
          <w:sz w:val="24"/>
        </w:rPr>
      </w:pPr>
      <w:r>
        <w:rPr>
          <w:rFonts w:ascii="宋体" w:hAnsi="宋体"/>
          <w:b/>
          <w:sz w:val="24"/>
        </w:rPr>
        <w:t>3</w:t>
      </w:r>
      <w:r>
        <w:rPr>
          <w:rFonts w:hint="eastAsia" w:ascii="宋体" w:hAnsi="宋体"/>
          <w:b/>
          <w:sz w:val="24"/>
        </w:rPr>
        <w:t>、磋商报价共10分,权重为10% ，由磋商小组根据以下内容统一计算打分：</w:t>
      </w:r>
    </w:p>
    <w:p w14:paraId="57F14B62">
      <w:pPr>
        <w:spacing w:line="360" w:lineRule="auto"/>
        <w:ind w:firstLine="480" w:firstLineChars="200"/>
        <w:rPr>
          <w:rFonts w:ascii="宋体" w:hAnsi="宋体"/>
          <w:sz w:val="24"/>
        </w:rPr>
      </w:pPr>
      <w:r>
        <w:rPr>
          <w:rFonts w:hint="eastAsia" w:ascii="宋体" w:hAnsi="宋体"/>
          <w:sz w:val="24"/>
        </w:rPr>
        <w:t>（1）报价评分应在报价范围口径一致的</w:t>
      </w:r>
      <w:r>
        <w:rPr>
          <w:rFonts w:hint="eastAsia" w:ascii="宋体" w:hAnsi="宋体" w:cs="宋体"/>
          <w:sz w:val="24"/>
        </w:rPr>
        <w:t>评审价</w:t>
      </w:r>
      <w:r>
        <w:rPr>
          <w:rFonts w:hint="eastAsia" w:ascii="宋体" w:hAnsi="宋体"/>
          <w:sz w:val="24"/>
        </w:rPr>
        <w:t>基础上进行。属磋商文件不清楚引起的报价内容和口径不一致的，则按有关规定统一调整报价内容和口径，计算出供应商的最终评审价。属供应商失误造成的报价差错和遗漏，不得调整。</w:t>
      </w:r>
    </w:p>
    <w:p w14:paraId="0402C40C">
      <w:pPr>
        <w:spacing w:line="360" w:lineRule="auto"/>
        <w:ind w:firstLine="480" w:firstLineChars="200"/>
        <w:rPr>
          <w:rFonts w:ascii="宋体" w:hAnsi="宋体" w:cs="宋体"/>
          <w:sz w:val="24"/>
        </w:rPr>
      </w:pPr>
      <w:r>
        <w:rPr>
          <w:rFonts w:hint="eastAsia" w:ascii="宋体" w:hAnsi="宋体"/>
          <w:sz w:val="24"/>
        </w:rPr>
        <w:t>（2）</w:t>
      </w:r>
      <w:r>
        <w:rPr>
          <w:rFonts w:hint="eastAsia" w:ascii="宋体" w:hAnsi="宋体" w:cs="宋体"/>
          <w:sz w:val="24"/>
        </w:rPr>
        <w:t>最终报价超过最高限价的作无效标处理。</w:t>
      </w:r>
    </w:p>
    <w:p w14:paraId="1B240C6F">
      <w:pPr>
        <w:spacing w:line="360" w:lineRule="auto"/>
        <w:ind w:firstLine="480" w:firstLineChars="200"/>
        <w:rPr>
          <w:rFonts w:ascii="宋体" w:hAnsi="宋体"/>
          <w:sz w:val="24"/>
        </w:rPr>
      </w:pPr>
      <w:r>
        <w:rPr>
          <w:rFonts w:hint="eastAsia" w:ascii="宋体" w:hAnsi="宋体"/>
          <w:sz w:val="24"/>
        </w:rPr>
        <w:t xml:space="preserve">（3） </w:t>
      </w:r>
      <w:r>
        <w:rPr>
          <w:rFonts w:hint="eastAsia" w:ascii="宋体" w:hAnsi="宋体" w:cs="宋体"/>
          <w:sz w:val="24"/>
        </w:rPr>
        <w:t>最终报价有漏项的或报价数量少于磋商文件要求数量的作无效标处理。</w:t>
      </w:r>
    </w:p>
    <w:p w14:paraId="478BA3BA">
      <w:pPr>
        <w:spacing w:line="360" w:lineRule="auto"/>
        <w:ind w:firstLine="482" w:firstLineChars="200"/>
        <w:rPr>
          <w:rFonts w:ascii="宋体" w:hAnsi="宋体"/>
          <w:b/>
          <w:sz w:val="24"/>
        </w:rPr>
      </w:pPr>
      <w:r>
        <w:rPr>
          <w:rFonts w:ascii="宋体" w:hAnsi="宋体"/>
          <w:b/>
          <w:sz w:val="24"/>
        </w:rPr>
        <w:t>4</w:t>
      </w:r>
      <w:r>
        <w:rPr>
          <w:rFonts w:hint="eastAsia" w:ascii="宋体" w:hAnsi="宋体"/>
          <w:b/>
          <w:sz w:val="24"/>
        </w:rPr>
        <w:t>、报价得分</w:t>
      </w:r>
      <w:r>
        <w:rPr>
          <w:rFonts w:ascii="宋体" w:hAnsi="宋体"/>
          <w:b/>
          <w:sz w:val="24"/>
        </w:rPr>
        <w:t>按以下</w:t>
      </w:r>
      <w:r>
        <w:rPr>
          <w:rFonts w:hint="eastAsia" w:ascii="宋体" w:hAnsi="宋体"/>
          <w:b/>
          <w:sz w:val="24"/>
        </w:rPr>
        <w:t>方式</w:t>
      </w:r>
      <w:r>
        <w:rPr>
          <w:rFonts w:ascii="宋体" w:hAnsi="宋体"/>
          <w:b/>
          <w:sz w:val="24"/>
        </w:rPr>
        <w:t>计算：</w:t>
      </w:r>
    </w:p>
    <w:p w14:paraId="504344D6">
      <w:pPr>
        <w:spacing w:line="360" w:lineRule="auto"/>
        <w:ind w:firstLine="480" w:firstLineChars="200"/>
        <w:rPr>
          <w:rFonts w:ascii="宋体" w:hAnsi="宋体"/>
          <w:b/>
          <w:sz w:val="24"/>
        </w:rPr>
      </w:pPr>
      <w:r>
        <w:rPr>
          <w:rFonts w:hint="eastAsia" w:ascii="宋体" w:hAnsi="宋体" w:cs="宋体"/>
          <w:sz w:val="24"/>
          <w:lang w:bidi="ar"/>
        </w:rPr>
        <w:t>磋商基准价=各有效供应商中的最低评审价</w:t>
      </w:r>
      <w:r>
        <w:rPr>
          <w:rFonts w:ascii="宋体" w:hAnsi="宋体" w:cs="宋体"/>
          <w:sz w:val="24"/>
          <w:lang w:bidi="ar"/>
        </w:rPr>
        <w:t>。</w:t>
      </w:r>
    </w:p>
    <w:p w14:paraId="24E8A222">
      <w:pPr>
        <w:spacing w:line="360" w:lineRule="auto"/>
        <w:ind w:firstLine="480" w:firstLineChars="200"/>
        <w:rPr>
          <w:rFonts w:ascii="宋体" w:hAnsi="宋体" w:cs="宋体"/>
          <w:sz w:val="24"/>
        </w:rPr>
      </w:pPr>
      <w:r>
        <w:rPr>
          <w:rFonts w:hint="eastAsia" w:ascii="宋体" w:hAnsi="宋体" w:cs="宋体"/>
          <w:sz w:val="24"/>
        </w:rPr>
        <w:t>评审价等于磋商基准价的得10分，其他供应商的报价得分按下列公式计算：</w:t>
      </w:r>
    </w:p>
    <w:p w14:paraId="04305AA5">
      <w:pPr>
        <w:spacing w:line="360" w:lineRule="auto"/>
        <w:ind w:firstLine="480" w:firstLineChars="200"/>
        <w:rPr>
          <w:rFonts w:ascii="宋体" w:hAnsi="宋体"/>
          <w:bCs/>
          <w:sz w:val="24"/>
        </w:rPr>
      </w:pPr>
      <w:r>
        <w:rPr>
          <w:rFonts w:hint="eastAsia" w:ascii="宋体" w:hAnsi="宋体"/>
          <w:sz w:val="24"/>
        </w:rPr>
        <w:t>报价得分=（磋商基准价/最终</w:t>
      </w:r>
      <w:r>
        <w:rPr>
          <w:rFonts w:hint="eastAsia" w:ascii="宋体" w:hAnsi="宋体" w:cs="宋体"/>
          <w:sz w:val="24"/>
        </w:rPr>
        <w:t>评审价</w:t>
      </w:r>
      <w:r>
        <w:rPr>
          <w:rFonts w:hint="eastAsia" w:ascii="宋体" w:hAnsi="宋体"/>
          <w:sz w:val="24"/>
        </w:rPr>
        <w:t>）×报价权重×100。</w:t>
      </w:r>
    </w:p>
    <w:p w14:paraId="0B39728F">
      <w:pPr>
        <w:spacing w:line="360" w:lineRule="auto"/>
        <w:ind w:firstLine="482" w:firstLineChars="200"/>
        <w:rPr>
          <w:rFonts w:ascii="宋体" w:hAnsi="宋体"/>
          <w:b/>
          <w:sz w:val="24"/>
        </w:rPr>
      </w:pPr>
      <w:r>
        <w:rPr>
          <w:rFonts w:ascii="宋体" w:hAnsi="宋体"/>
          <w:b/>
          <w:sz w:val="24"/>
        </w:rPr>
        <w:t>5</w:t>
      </w:r>
      <w:r>
        <w:rPr>
          <w:rFonts w:hint="eastAsia" w:ascii="宋体" w:hAnsi="宋体"/>
          <w:b/>
          <w:sz w:val="24"/>
        </w:rPr>
        <w:t>、本项目最终得分=资信商务及技术得分＋报价得分。</w:t>
      </w:r>
      <w:bookmarkEnd w:id="59"/>
      <w:bookmarkEnd w:id="60"/>
    </w:p>
    <w:sectPr>
      <w:headerReference r:id="rId3" w:type="default"/>
      <w:footerReference r:id="rId4" w:type="default"/>
      <w:pgSz w:w="11906" w:h="16838"/>
      <w:pgMar w:top="1440" w:right="1800" w:bottom="1440" w:left="180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85B61">
    <w:pPr>
      <w:pStyle w:val="19"/>
      <w:ind w:firstLine="105"/>
      <w:rPr>
        <w:sz w:val="21"/>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58BB4">
    <w:pPr>
      <w:spacing w:line="360" w:lineRule="auto"/>
      <w:jc w:val="left"/>
      <w:rPr>
        <w:u w:val="single"/>
      </w:rPr>
    </w:pPr>
    <w:r>
      <w:rPr>
        <w:rFonts w:hint="eastAsia"/>
        <w:u w:val="single"/>
      </w:rPr>
      <w:t xml:space="preserve">2025丽水学院现代教育设施维护外包服务项目竞争性磋商文件                     </w:t>
    </w:r>
    <w:r>
      <w:rPr>
        <w:u w:val="single"/>
      </w:rPr>
      <w:fldChar w:fldCharType="begin"/>
    </w:r>
    <w:r>
      <w:rPr>
        <w:u w:val="single"/>
      </w:rPr>
      <w:instrText xml:space="preserve">PAGE   \* MERGEFORMAT</w:instrText>
    </w:r>
    <w:r>
      <w:rPr>
        <w:u w:val="single"/>
      </w:rPr>
      <w:fldChar w:fldCharType="separate"/>
    </w:r>
    <w:r>
      <w:rPr>
        <w:u w:val="single"/>
        <w:lang w:val="zh-CN"/>
      </w:rPr>
      <w:t>2</w:t>
    </w:r>
    <w:r>
      <w:rPr>
        <w:u w:val="single"/>
      </w:rPr>
      <w:fldChar w:fldCharType="end"/>
    </w:r>
    <w:r>
      <w:rPr>
        <w:rFonts w:hint="eastAsia"/>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xNDFlMWMyZTM5YzRkMzgzYTE3YWY2NmZjY2MxMzUifQ=="/>
  </w:docVars>
  <w:rsids>
    <w:rsidRoot w:val="001F28AD"/>
    <w:rsid w:val="00026A9C"/>
    <w:rsid w:val="000F4783"/>
    <w:rsid w:val="000F5456"/>
    <w:rsid w:val="00161DDF"/>
    <w:rsid w:val="0017358F"/>
    <w:rsid w:val="001F28AD"/>
    <w:rsid w:val="001F5243"/>
    <w:rsid w:val="002415BB"/>
    <w:rsid w:val="002811E5"/>
    <w:rsid w:val="002F1951"/>
    <w:rsid w:val="002F5FE0"/>
    <w:rsid w:val="00316B65"/>
    <w:rsid w:val="00386E65"/>
    <w:rsid w:val="00391CE9"/>
    <w:rsid w:val="003A6891"/>
    <w:rsid w:val="003F3777"/>
    <w:rsid w:val="0041298B"/>
    <w:rsid w:val="00446EC9"/>
    <w:rsid w:val="00497972"/>
    <w:rsid w:val="004D7D06"/>
    <w:rsid w:val="004E0C52"/>
    <w:rsid w:val="00510DA0"/>
    <w:rsid w:val="00530B22"/>
    <w:rsid w:val="005777CE"/>
    <w:rsid w:val="00587562"/>
    <w:rsid w:val="00611A8E"/>
    <w:rsid w:val="006B198D"/>
    <w:rsid w:val="006B5985"/>
    <w:rsid w:val="006F6A37"/>
    <w:rsid w:val="00780BC4"/>
    <w:rsid w:val="007959DB"/>
    <w:rsid w:val="007B3C72"/>
    <w:rsid w:val="007E4E85"/>
    <w:rsid w:val="00860BF7"/>
    <w:rsid w:val="008718B5"/>
    <w:rsid w:val="008842FB"/>
    <w:rsid w:val="008F3EE8"/>
    <w:rsid w:val="00945C99"/>
    <w:rsid w:val="00952E60"/>
    <w:rsid w:val="00984D5C"/>
    <w:rsid w:val="009A4E18"/>
    <w:rsid w:val="009A6914"/>
    <w:rsid w:val="009E42C9"/>
    <w:rsid w:val="009F74E3"/>
    <w:rsid w:val="009F792D"/>
    <w:rsid w:val="00A14361"/>
    <w:rsid w:val="00A15BF2"/>
    <w:rsid w:val="00A41993"/>
    <w:rsid w:val="00A8219F"/>
    <w:rsid w:val="00A913AC"/>
    <w:rsid w:val="00A91F9B"/>
    <w:rsid w:val="00B66C59"/>
    <w:rsid w:val="00B67264"/>
    <w:rsid w:val="00C02544"/>
    <w:rsid w:val="00C16F12"/>
    <w:rsid w:val="00C56959"/>
    <w:rsid w:val="00C63624"/>
    <w:rsid w:val="00C750E6"/>
    <w:rsid w:val="00CB0FCB"/>
    <w:rsid w:val="00CE1715"/>
    <w:rsid w:val="00D37073"/>
    <w:rsid w:val="00D773A9"/>
    <w:rsid w:val="00D858ED"/>
    <w:rsid w:val="00DC1F40"/>
    <w:rsid w:val="00EC074A"/>
    <w:rsid w:val="00EC0762"/>
    <w:rsid w:val="00EC0946"/>
    <w:rsid w:val="00ED70CE"/>
    <w:rsid w:val="00F24D0F"/>
    <w:rsid w:val="00F32357"/>
    <w:rsid w:val="00FB6098"/>
    <w:rsid w:val="011D1949"/>
    <w:rsid w:val="01F43684"/>
    <w:rsid w:val="47DB62A4"/>
    <w:rsid w:val="4CEC7689"/>
    <w:rsid w:val="6DFE376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autoRedefine/>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4">
    <w:name w:val="heading 3"/>
    <w:basedOn w:val="1"/>
    <w:next w:val="5"/>
    <w:link w:val="42"/>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6">
    <w:name w:val="heading 4"/>
    <w:basedOn w:val="1"/>
    <w:next w:val="1"/>
    <w:link w:val="43"/>
    <w:autoRedefine/>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44"/>
    <w:autoRedefine/>
    <w:qFormat/>
    <w:uiPriority w:val="0"/>
    <w:pPr>
      <w:keepNext/>
      <w:keepLines/>
      <w:spacing w:before="280" w:after="290" w:line="376" w:lineRule="auto"/>
      <w:outlineLvl w:val="4"/>
    </w:pPr>
    <w:rPr>
      <w:b/>
      <w:bCs/>
      <w:sz w:val="28"/>
      <w:szCs w:val="28"/>
    </w:rPr>
  </w:style>
  <w:style w:type="paragraph" w:styleId="8">
    <w:name w:val="heading 6"/>
    <w:basedOn w:val="1"/>
    <w:next w:val="1"/>
    <w:link w:val="45"/>
    <w:autoRedefine/>
    <w:qFormat/>
    <w:uiPriority w:val="0"/>
    <w:pPr>
      <w:keepNext/>
      <w:keepLines/>
      <w:spacing w:before="240" w:after="64" w:line="320" w:lineRule="auto"/>
      <w:outlineLvl w:val="5"/>
    </w:pPr>
    <w:rPr>
      <w:rFonts w:ascii="Cambria" w:hAnsi="Cambria"/>
      <w:b/>
      <w:bCs/>
      <w:sz w:val="24"/>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5">
    <w:name w:val="Normal Indent"/>
    <w:basedOn w:val="1"/>
    <w:link w:val="33"/>
    <w:autoRedefine/>
    <w:qFormat/>
    <w:uiPriority w:val="0"/>
    <w:pPr>
      <w:ind w:firstLine="420"/>
    </w:pPr>
    <w:rPr>
      <w:szCs w:val="20"/>
    </w:rPr>
  </w:style>
  <w:style w:type="paragraph" w:styleId="9">
    <w:name w:val="caption"/>
    <w:basedOn w:val="1"/>
    <w:next w:val="1"/>
    <w:autoRedefine/>
    <w:qFormat/>
    <w:uiPriority w:val="0"/>
    <w:rPr>
      <w:rFonts w:ascii="Cambria" w:hAnsi="Cambria" w:eastAsia="黑体"/>
      <w:kern w:val="0"/>
      <w:sz w:val="20"/>
      <w:szCs w:val="20"/>
    </w:rPr>
  </w:style>
  <w:style w:type="paragraph" w:styleId="10">
    <w:name w:val="toa heading"/>
    <w:basedOn w:val="1"/>
    <w:next w:val="1"/>
    <w:autoRedefine/>
    <w:qFormat/>
    <w:uiPriority w:val="0"/>
    <w:pPr>
      <w:spacing w:before="120" w:line="240" w:lineRule="atLeast"/>
    </w:pPr>
    <w:rPr>
      <w:rFonts w:ascii="Arial" w:hAnsi="Arial" w:cs="Arial"/>
      <w:sz w:val="24"/>
    </w:rPr>
  </w:style>
  <w:style w:type="paragraph" w:styleId="11">
    <w:name w:val="annotation text"/>
    <w:basedOn w:val="1"/>
    <w:link w:val="47"/>
    <w:autoRedefine/>
    <w:qFormat/>
    <w:uiPriority w:val="0"/>
    <w:pPr>
      <w:jc w:val="left"/>
    </w:pPr>
  </w:style>
  <w:style w:type="paragraph" w:styleId="12">
    <w:name w:val="Body Text"/>
    <w:basedOn w:val="1"/>
    <w:link w:val="49"/>
    <w:autoRedefine/>
    <w:qFormat/>
    <w:uiPriority w:val="0"/>
    <w:pPr>
      <w:spacing w:after="120"/>
    </w:pPr>
  </w:style>
  <w:style w:type="paragraph" w:styleId="13">
    <w:name w:val="Body Text Indent"/>
    <w:basedOn w:val="1"/>
    <w:link w:val="51"/>
    <w:autoRedefine/>
    <w:qFormat/>
    <w:uiPriority w:val="0"/>
    <w:pPr>
      <w:spacing w:after="120"/>
      <w:ind w:left="420" w:leftChars="200"/>
    </w:pPr>
  </w:style>
  <w:style w:type="paragraph" w:styleId="14">
    <w:name w:val="List 2"/>
    <w:basedOn w:val="1"/>
    <w:autoRedefine/>
    <w:qFormat/>
    <w:uiPriority w:val="0"/>
    <w:pPr>
      <w:ind w:left="100" w:leftChars="200" w:hanging="200" w:hangingChars="200"/>
    </w:pPr>
  </w:style>
  <w:style w:type="paragraph" w:styleId="15">
    <w:name w:val="Plain Text"/>
    <w:basedOn w:val="1"/>
    <w:link w:val="55"/>
    <w:autoRedefine/>
    <w:qFormat/>
    <w:uiPriority w:val="0"/>
    <w:rPr>
      <w:rFonts w:ascii="宋体" w:hAnsi="Courier New"/>
      <w:szCs w:val="20"/>
    </w:rPr>
  </w:style>
  <w:style w:type="paragraph" w:styleId="16">
    <w:name w:val="Date"/>
    <w:basedOn w:val="1"/>
    <w:next w:val="1"/>
    <w:link w:val="57"/>
    <w:autoRedefine/>
    <w:qFormat/>
    <w:uiPriority w:val="0"/>
    <w:pPr>
      <w:adjustRightInd w:val="0"/>
      <w:spacing w:line="312" w:lineRule="atLeast"/>
    </w:pPr>
    <w:rPr>
      <w:rFonts w:ascii="仿宋_GB2312" w:eastAsia="仿宋_GB2312"/>
      <w:kern w:val="0"/>
      <w:sz w:val="28"/>
      <w:szCs w:val="20"/>
    </w:rPr>
  </w:style>
  <w:style w:type="paragraph" w:styleId="17">
    <w:name w:val="Body Text Indent 2"/>
    <w:basedOn w:val="1"/>
    <w:link w:val="58"/>
    <w:autoRedefine/>
    <w:qFormat/>
    <w:uiPriority w:val="0"/>
    <w:pPr>
      <w:snapToGrid w:val="0"/>
      <w:spacing w:line="400" w:lineRule="exact"/>
      <w:ind w:firstLine="480"/>
    </w:pPr>
    <w:rPr>
      <w:rFonts w:eastAsia="仿宋_GB2312"/>
      <w:sz w:val="24"/>
    </w:rPr>
  </w:style>
  <w:style w:type="paragraph" w:styleId="18">
    <w:name w:val="Balloon Text"/>
    <w:basedOn w:val="1"/>
    <w:link w:val="60"/>
    <w:autoRedefine/>
    <w:qFormat/>
    <w:uiPriority w:val="0"/>
    <w:rPr>
      <w:sz w:val="18"/>
      <w:szCs w:val="18"/>
    </w:rPr>
  </w:style>
  <w:style w:type="paragraph" w:styleId="19">
    <w:name w:val="footer"/>
    <w:basedOn w:val="1"/>
    <w:link w:val="62"/>
    <w:autoRedefine/>
    <w:qFormat/>
    <w:uiPriority w:val="0"/>
    <w:pPr>
      <w:tabs>
        <w:tab w:val="center" w:pos="4153"/>
        <w:tab w:val="right" w:pos="8306"/>
      </w:tabs>
      <w:snapToGrid w:val="0"/>
      <w:jc w:val="left"/>
    </w:pPr>
    <w:rPr>
      <w:sz w:val="18"/>
      <w:szCs w:val="18"/>
    </w:rPr>
  </w:style>
  <w:style w:type="paragraph" w:styleId="20">
    <w:name w:val="header"/>
    <w:basedOn w:val="1"/>
    <w:link w:val="64"/>
    <w:autoRedefine/>
    <w:qFormat/>
    <w:uiPriority w:val="0"/>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21">
    <w:name w:val="HTML Preformatted"/>
    <w:basedOn w:val="1"/>
    <w:link w:val="137"/>
    <w:autoRedefine/>
    <w:qFormat/>
    <w:uiPriority w:val="0"/>
    <w:rPr>
      <w:rFonts w:ascii="Arial Unicode MS" w:hAnsi="Arial Unicode MS" w:eastAsia="Arial Unicode MS"/>
      <w:kern w:val="0"/>
      <w:sz w:val="20"/>
      <w:szCs w:val="20"/>
    </w:rPr>
  </w:style>
  <w:style w:type="paragraph" w:styleId="22">
    <w:name w:val="Normal (Web)"/>
    <w:basedOn w:val="1"/>
    <w:link w:val="65"/>
    <w:autoRedefine/>
    <w:qFormat/>
    <w:uiPriority w:val="0"/>
    <w:pPr>
      <w:widowControl/>
      <w:spacing w:before="100" w:beforeAutospacing="1" w:after="100" w:afterAutospacing="1"/>
      <w:jc w:val="left"/>
    </w:pPr>
    <w:rPr>
      <w:rFonts w:ascii="宋体" w:hAnsi="宋体"/>
      <w:kern w:val="0"/>
      <w:sz w:val="24"/>
    </w:rPr>
  </w:style>
  <w:style w:type="paragraph" w:styleId="23">
    <w:name w:val="Title"/>
    <w:basedOn w:val="1"/>
    <w:link w:val="67"/>
    <w:autoRedefine/>
    <w:qFormat/>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24">
    <w:name w:val="annotation subject"/>
    <w:basedOn w:val="11"/>
    <w:next w:val="11"/>
    <w:link w:val="69"/>
    <w:autoRedefine/>
    <w:qFormat/>
    <w:uiPriority w:val="0"/>
    <w:rPr>
      <w:b/>
      <w:bCs/>
    </w:rPr>
  </w:style>
  <w:style w:type="paragraph" w:styleId="25">
    <w:name w:val="Body Text First Indent"/>
    <w:basedOn w:val="12"/>
    <w:link w:val="140"/>
    <w:autoRedefine/>
    <w:semiHidden/>
    <w:unhideWhenUsed/>
    <w:qFormat/>
    <w:uiPriority w:val="99"/>
    <w:pPr>
      <w:ind w:firstLine="420" w:firstLineChars="100"/>
    </w:pPr>
  </w:style>
  <w:style w:type="table" w:styleId="27">
    <w:name w:val="Table Grid"/>
    <w:basedOn w:val="26"/>
    <w:autoRedefine/>
    <w:qFormat/>
    <w:uiPriority w:val="0"/>
    <w:pPr>
      <w:widowControl w:val="0"/>
      <w:spacing w:line="380" w:lineRule="exact"/>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rPr>
  </w:style>
  <w:style w:type="character" w:styleId="30">
    <w:name w:val="FollowedHyperlink"/>
    <w:autoRedefine/>
    <w:qFormat/>
    <w:uiPriority w:val="99"/>
    <w:rPr>
      <w:color w:val="800080"/>
      <w:u w:val="single"/>
    </w:rPr>
  </w:style>
  <w:style w:type="character" w:styleId="31">
    <w:name w:val="Hyperlink"/>
    <w:autoRedefine/>
    <w:qFormat/>
    <w:uiPriority w:val="99"/>
    <w:rPr>
      <w:color w:val="0000FF"/>
      <w:u w:val="single"/>
    </w:rPr>
  </w:style>
  <w:style w:type="character" w:styleId="32">
    <w:name w:val="annotation reference"/>
    <w:autoRedefine/>
    <w:qFormat/>
    <w:uiPriority w:val="0"/>
    <w:rPr>
      <w:sz w:val="21"/>
      <w:szCs w:val="21"/>
    </w:rPr>
  </w:style>
  <w:style w:type="character" w:customStyle="1" w:styleId="33">
    <w:name w:val="正文缩进 字符"/>
    <w:link w:val="5"/>
    <w:autoRedefine/>
    <w:qFormat/>
    <w:uiPriority w:val="0"/>
    <w:rPr>
      <w:rFonts w:ascii="Times New Roman" w:hAnsi="Times New Roman" w:eastAsia="宋体" w:cs="Times New Roman"/>
      <w:szCs w:val="20"/>
    </w:rPr>
  </w:style>
  <w:style w:type="character" w:customStyle="1" w:styleId="34">
    <w:name w:val="纯文本 Char1"/>
    <w:autoRedefine/>
    <w:qFormat/>
    <w:uiPriority w:val="0"/>
    <w:rPr>
      <w:rFonts w:ascii="宋体" w:hAnsi="Courier New" w:eastAsia="宋体"/>
      <w:kern w:val="2"/>
      <w:sz w:val="21"/>
      <w:lang w:val="en-US" w:eastAsia="zh-CN" w:bidi="ar-SA"/>
    </w:rPr>
  </w:style>
  <w:style w:type="character" w:customStyle="1" w:styleId="35">
    <w:name w:val="标题 1 字符1"/>
    <w:link w:val="2"/>
    <w:autoRedefine/>
    <w:qFormat/>
    <w:uiPriority w:val="0"/>
    <w:rPr>
      <w:rFonts w:ascii="Times New Roman" w:hAnsi="Times New Roman" w:eastAsia="宋体" w:cs="Times New Roman"/>
      <w:b/>
      <w:bCs/>
      <w:kern w:val="44"/>
      <w:sz w:val="44"/>
      <w:szCs w:val="44"/>
    </w:rPr>
  </w:style>
  <w:style w:type="character" w:customStyle="1" w:styleId="36">
    <w:name w:val="标题 1 字符"/>
    <w:basedOn w:val="28"/>
    <w:autoRedefine/>
    <w:qFormat/>
    <w:uiPriority w:val="9"/>
    <w:rPr>
      <w:rFonts w:ascii="Times New Roman" w:hAnsi="Times New Roman" w:eastAsia="宋体" w:cs="Times New Roman"/>
      <w:b/>
      <w:bCs/>
      <w:kern w:val="44"/>
      <w:sz w:val="44"/>
      <w:szCs w:val="44"/>
    </w:rPr>
  </w:style>
  <w:style w:type="character" w:customStyle="1" w:styleId="37">
    <w:name w:val="标题 2 字符"/>
    <w:basedOn w:val="28"/>
    <w:link w:val="3"/>
    <w:autoRedefine/>
    <w:qFormat/>
    <w:uiPriority w:val="0"/>
    <w:rPr>
      <w:rFonts w:ascii="仿宋_GB2312" w:hAnsi="Times New Roman" w:eastAsia="仿宋_GB2312" w:cs="Times New Roman"/>
      <w:b/>
      <w:kern w:val="0"/>
      <w:sz w:val="36"/>
      <w:szCs w:val="20"/>
    </w:rPr>
  </w:style>
  <w:style w:type="character" w:customStyle="1" w:styleId="38">
    <w:name w:val="标题 3 字符"/>
    <w:basedOn w:val="28"/>
    <w:autoRedefine/>
    <w:qFormat/>
    <w:uiPriority w:val="0"/>
    <w:rPr>
      <w:rFonts w:ascii="Times New Roman" w:hAnsi="Times New Roman" w:eastAsia="宋体" w:cs="Times New Roman"/>
      <w:b/>
      <w:bCs/>
      <w:sz w:val="32"/>
      <w:szCs w:val="32"/>
    </w:rPr>
  </w:style>
  <w:style w:type="character" w:customStyle="1" w:styleId="39">
    <w:name w:val="标题 4 字符"/>
    <w:basedOn w:val="28"/>
    <w:autoRedefine/>
    <w:semiHidden/>
    <w:qFormat/>
    <w:uiPriority w:val="9"/>
    <w:rPr>
      <w:rFonts w:asciiTheme="majorHAnsi" w:hAnsiTheme="majorHAnsi" w:eastAsiaTheme="majorEastAsia" w:cstheme="majorBidi"/>
      <w:b/>
      <w:bCs/>
      <w:sz w:val="28"/>
      <w:szCs w:val="28"/>
    </w:rPr>
  </w:style>
  <w:style w:type="character" w:customStyle="1" w:styleId="40">
    <w:name w:val="标题 5 字符"/>
    <w:basedOn w:val="28"/>
    <w:autoRedefine/>
    <w:semiHidden/>
    <w:uiPriority w:val="9"/>
    <w:rPr>
      <w:rFonts w:ascii="Times New Roman" w:hAnsi="Times New Roman" w:eastAsia="宋体" w:cs="Times New Roman"/>
      <w:b/>
      <w:bCs/>
      <w:sz w:val="28"/>
      <w:szCs w:val="28"/>
    </w:rPr>
  </w:style>
  <w:style w:type="character" w:customStyle="1" w:styleId="41">
    <w:name w:val="标题 6 字符"/>
    <w:basedOn w:val="28"/>
    <w:autoRedefine/>
    <w:semiHidden/>
    <w:uiPriority w:val="9"/>
    <w:rPr>
      <w:rFonts w:asciiTheme="majorHAnsi" w:hAnsiTheme="majorHAnsi" w:eastAsiaTheme="majorEastAsia" w:cstheme="majorBidi"/>
      <w:b/>
      <w:bCs/>
      <w:sz w:val="24"/>
      <w:szCs w:val="24"/>
    </w:rPr>
  </w:style>
  <w:style w:type="character" w:customStyle="1" w:styleId="42">
    <w:name w:val="标题 3 字符1"/>
    <w:link w:val="4"/>
    <w:autoRedefine/>
    <w:uiPriority w:val="0"/>
    <w:rPr>
      <w:rFonts w:ascii="仿宋_GB2312" w:hAnsi="Times New Roman" w:eastAsia="仿宋_GB2312" w:cs="Times New Roman"/>
      <w:b/>
      <w:bCs/>
      <w:sz w:val="30"/>
      <w:szCs w:val="20"/>
    </w:rPr>
  </w:style>
  <w:style w:type="character" w:customStyle="1" w:styleId="43">
    <w:name w:val="标题 4 字符1"/>
    <w:link w:val="6"/>
    <w:autoRedefine/>
    <w:uiPriority w:val="0"/>
    <w:rPr>
      <w:rFonts w:ascii="Cambria" w:hAnsi="Cambria" w:eastAsia="宋体" w:cs="Times New Roman"/>
      <w:b/>
      <w:bCs/>
      <w:sz w:val="28"/>
      <w:szCs w:val="28"/>
    </w:rPr>
  </w:style>
  <w:style w:type="character" w:customStyle="1" w:styleId="44">
    <w:name w:val="标题 5 字符1"/>
    <w:link w:val="7"/>
    <w:autoRedefine/>
    <w:uiPriority w:val="0"/>
    <w:rPr>
      <w:rFonts w:ascii="Times New Roman" w:hAnsi="Times New Roman" w:eastAsia="宋体" w:cs="Times New Roman"/>
      <w:b/>
      <w:bCs/>
      <w:sz w:val="28"/>
      <w:szCs w:val="28"/>
    </w:rPr>
  </w:style>
  <w:style w:type="character" w:customStyle="1" w:styleId="45">
    <w:name w:val="标题 6 字符1"/>
    <w:link w:val="8"/>
    <w:autoRedefine/>
    <w:uiPriority w:val="0"/>
    <w:rPr>
      <w:rFonts w:ascii="Cambria" w:hAnsi="Cambria" w:eastAsia="宋体" w:cs="Times New Roman"/>
      <w:b/>
      <w:bCs/>
      <w:sz w:val="24"/>
      <w:szCs w:val="24"/>
    </w:rPr>
  </w:style>
  <w:style w:type="character" w:customStyle="1" w:styleId="46">
    <w:name w:val="批注文字 字符"/>
    <w:basedOn w:val="28"/>
    <w:autoRedefine/>
    <w:semiHidden/>
    <w:uiPriority w:val="99"/>
    <w:rPr>
      <w:rFonts w:ascii="Times New Roman" w:hAnsi="Times New Roman" w:eastAsia="宋体" w:cs="Times New Roman"/>
      <w:szCs w:val="24"/>
    </w:rPr>
  </w:style>
  <w:style w:type="character" w:customStyle="1" w:styleId="47">
    <w:name w:val="批注文字 字符1"/>
    <w:link w:val="11"/>
    <w:autoRedefine/>
    <w:uiPriority w:val="0"/>
    <w:rPr>
      <w:rFonts w:ascii="Times New Roman" w:hAnsi="Times New Roman" w:eastAsia="宋体" w:cs="Times New Roman"/>
      <w:szCs w:val="24"/>
    </w:rPr>
  </w:style>
  <w:style w:type="character" w:customStyle="1" w:styleId="48">
    <w:name w:val="正文文本 字符"/>
    <w:basedOn w:val="28"/>
    <w:autoRedefine/>
    <w:semiHidden/>
    <w:uiPriority w:val="99"/>
    <w:rPr>
      <w:rFonts w:ascii="Times New Roman" w:hAnsi="Times New Roman" w:eastAsia="宋体" w:cs="Times New Roman"/>
      <w:szCs w:val="24"/>
    </w:rPr>
  </w:style>
  <w:style w:type="character" w:customStyle="1" w:styleId="49">
    <w:name w:val="正文文本 字符1"/>
    <w:link w:val="12"/>
    <w:autoRedefine/>
    <w:uiPriority w:val="0"/>
    <w:rPr>
      <w:rFonts w:ascii="Times New Roman" w:hAnsi="Times New Roman" w:eastAsia="宋体" w:cs="Times New Roman"/>
      <w:szCs w:val="24"/>
    </w:rPr>
  </w:style>
  <w:style w:type="character" w:customStyle="1" w:styleId="50">
    <w:name w:val="正文文本缩进 字符"/>
    <w:basedOn w:val="28"/>
    <w:autoRedefine/>
    <w:semiHidden/>
    <w:uiPriority w:val="99"/>
    <w:rPr>
      <w:rFonts w:ascii="Times New Roman" w:hAnsi="Times New Roman" w:eastAsia="宋体" w:cs="Times New Roman"/>
      <w:szCs w:val="24"/>
    </w:rPr>
  </w:style>
  <w:style w:type="character" w:customStyle="1" w:styleId="51">
    <w:name w:val="正文文本缩进 字符1"/>
    <w:link w:val="13"/>
    <w:uiPriority w:val="0"/>
    <w:rPr>
      <w:rFonts w:ascii="Times New Roman" w:hAnsi="Times New Roman" w:eastAsia="宋体" w:cs="Times New Roman"/>
      <w:szCs w:val="24"/>
    </w:rPr>
  </w:style>
  <w:style w:type="paragraph" w:customStyle="1" w:styleId="52">
    <w:name w:val="_Style 34"/>
    <w:basedOn w:val="1"/>
    <w:next w:val="53"/>
    <w:autoRedefine/>
    <w:qFormat/>
    <w:uiPriority w:val="34"/>
    <w:pPr>
      <w:ind w:firstLine="420" w:firstLineChars="200"/>
    </w:pPr>
    <w:rPr>
      <w:sz w:val="24"/>
    </w:rPr>
  </w:style>
  <w:style w:type="paragraph" w:styleId="53">
    <w:name w:val="List Paragraph"/>
    <w:basedOn w:val="1"/>
    <w:link w:val="91"/>
    <w:autoRedefine/>
    <w:qFormat/>
    <w:uiPriority w:val="0"/>
    <w:pPr>
      <w:ind w:firstLine="420" w:firstLineChars="200"/>
    </w:pPr>
    <w:rPr>
      <w:rFonts w:asciiTheme="minorHAnsi" w:hAnsiTheme="minorHAnsi" w:eastAsiaTheme="minorEastAsia" w:cstheme="minorBidi"/>
      <w:sz w:val="24"/>
    </w:rPr>
  </w:style>
  <w:style w:type="character" w:customStyle="1" w:styleId="54">
    <w:name w:val="纯文本 字符"/>
    <w:basedOn w:val="28"/>
    <w:autoRedefine/>
    <w:semiHidden/>
    <w:qFormat/>
    <w:uiPriority w:val="99"/>
    <w:rPr>
      <w:rFonts w:hAnsi="Courier New" w:cs="Courier New" w:asciiTheme="minorEastAsia"/>
      <w:szCs w:val="24"/>
    </w:rPr>
  </w:style>
  <w:style w:type="character" w:customStyle="1" w:styleId="55">
    <w:name w:val="纯文本 字符1"/>
    <w:link w:val="15"/>
    <w:qFormat/>
    <w:uiPriority w:val="0"/>
    <w:rPr>
      <w:rFonts w:ascii="宋体" w:hAnsi="Courier New" w:eastAsia="宋体" w:cs="Times New Roman"/>
      <w:szCs w:val="20"/>
    </w:rPr>
  </w:style>
  <w:style w:type="character" w:customStyle="1" w:styleId="56">
    <w:name w:val="日期 字符"/>
    <w:basedOn w:val="28"/>
    <w:autoRedefine/>
    <w:semiHidden/>
    <w:uiPriority w:val="99"/>
    <w:rPr>
      <w:rFonts w:ascii="Times New Roman" w:hAnsi="Times New Roman" w:eastAsia="宋体" w:cs="Times New Roman"/>
      <w:szCs w:val="24"/>
    </w:rPr>
  </w:style>
  <w:style w:type="character" w:customStyle="1" w:styleId="57">
    <w:name w:val="日期 字符1"/>
    <w:link w:val="16"/>
    <w:uiPriority w:val="0"/>
    <w:rPr>
      <w:rFonts w:ascii="仿宋_GB2312" w:hAnsi="Times New Roman" w:eastAsia="仿宋_GB2312" w:cs="Times New Roman"/>
      <w:kern w:val="0"/>
      <w:sz w:val="28"/>
      <w:szCs w:val="20"/>
    </w:rPr>
  </w:style>
  <w:style w:type="character" w:customStyle="1" w:styleId="58">
    <w:name w:val="正文文本缩进 2 字符"/>
    <w:basedOn w:val="28"/>
    <w:link w:val="17"/>
    <w:autoRedefine/>
    <w:uiPriority w:val="0"/>
    <w:rPr>
      <w:rFonts w:ascii="Times New Roman" w:hAnsi="Times New Roman" w:eastAsia="仿宋_GB2312" w:cs="Times New Roman"/>
      <w:sz w:val="24"/>
      <w:szCs w:val="24"/>
    </w:rPr>
  </w:style>
  <w:style w:type="character" w:customStyle="1" w:styleId="59">
    <w:name w:val="批注框文本 字符"/>
    <w:basedOn w:val="28"/>
    <w:autoRedefine/>
    <w:semiHidden/>
    <w:qFormat/>
    <w:uiPriority w:val="99"/>
    <w:rPr>
      <w:rFonts w:ascii="Times New Roman" w:hAnsi="Times New Roman" w:eastAsia="宋体" w:cs="Times New Roman"/>
      <w:sz w:val="18"/>
      <w:szCs w:val="18"/>
    </w:rPr>
  </w:style>
  <w:style w:type="character" w:customStyle="1" w:styleId="60">
    <w:name w:val="批注框文本 字符1"/>
    <w:link w:val="18"/>
    <w:autoRedefine/>
    <w:uiPriority w:val="0"/>
    <w:rPr>
      <w:rFonts w:ascii="Times New Roman" w:hAnsi="Times New Roman" w:eastAsia="宋体" w:cs="Times New Roman"/>
      <w:sz w:val="18"/>
      <w:szCs w:val="18"/>
    </w:rPr>
  </w:style>
  <w:style w:type="character" w:customStyle="1" w:styleId="61">
    <w:name w:val="页脚 字符"/>
    <w:basedOn w:val="28"/>
    <w:autoRedefine/>
    <w:semiHidden/>
    <w:uiPriority w:val="99"/>
    <w:rPr>
      <w:rFonts w:ascii="Times New Roman" w:hAnsi="Times New Roman" w:eastAsia="宋体" w:cs="Times New Roman"/>
      <w:sz w:val="18"/>
      <w:szCs w:val="18"/>
    </w:rPr>
  </w:style>
  <w:style w:type="character" w:customStyle="1" w:styleId="62">
    <w:name w:val="页脚 字符1"/>
    <w:link w:val="19"/>
    <w:autoRedefine/>
    <w:uiPriority w:val="0"/>
    <w:rPr>
      <w:rFonts w:ascii="Times New Roman" w:hAnsi="Times New Roman" w:eastAsia="宋体" w:cs="Times New Roman"/>
      <w:sz w:val="18"/>
      <w:szCs w:val="18"/>
    </w:rPr>
  </w:style>
  <w:style w:type="character" w:customStyle="1" w:styleId="63">
    <w:name w:val="页眉 字符"/>
    <w:basedOn w:val="28"/>
    <w:autoRedefine/>
    <w:semiHidden/>
    <w:qFormat/>
    <w:uiPriority w:val="99"/>
    <w:rPr>
      <w:rFonts w:ascii="Times New Roman" w:hAnsi="Times New Roman" w:eastAsia="宋体" w:cs="Times New Roman"/>
      <w:sz w:val="18"/>
      <w:szCs w:val="18"/>
    </w:rPr>
  </w:style>
  <w:style w:type="character" w:customStyle="1" w:styleId="64">
    <w:name w:val="页眉 字符1"/>
    <w:link w:val="20"/>
    <w:autoRedefine/>
    <w:qFormat/>
    <w:uiPriority w:val="0"/>
    <w:rPr>
      <w:rFonts w:ascii="Times New Roman" w:hAnsi="Times New Roman" w:eastAsia="宋体" w:cs="Times New Roman"/>
      <w:kern w:val="0"/>
      <w:sz w:val="18"/>
      <w:szCs w:val="20"/>
    </w:rPr>
  </w:style>
  <w:style w:type="character" w:customStyle="1" w:styleId="65">
    <w:name w:val="普通(网站) 字符"/>
    <w:link w:val="22"/>
    <w:autoRedefine/>
    <w:uiPriority w:val="0"/>
    <w:rPr>
      <w:rFonts w:ascii="宋体" w:hAnsi="宋体" w:eastAsia="宋体" w:cs="Times New Roman"/>
      <w:kern w:val="0"/>
      <w:sz w:val="24"/>
      <w:szCs w:val="24"/>
    </w:rPr>
  </w:style>
  <w:style w:type="character" w:customStyle="1" w:styleId="66">
    <w:name w:val="标题 字符"/>
    <w:basedOn w:val="28"/>
    <w:uiPriority w:val="10"/>
    <w:rPr>
      <w:rFonts w:asciiTheme="majorHAnsi" w:hAnsiTheme="majorHAnsi" w:eastAsiaTheme="majorEastAsia" w:cstheme="majorBidi"/>
      <w:b/>
      <w:bCs/>
      <w:sz w:val="32"/>
      <w:szCs w:val="32"/>
    </w:rPr>
  </w:style>
  <w:style w:type="character" w:customStyle="1" w:styleId="67">
    <w:name w:val="标题 字符1"/>
    <w:link w:val="23"/>
    <w:autoRedefine/>
    <w:qFormat/>
    <w:uiPriority w:val="0"/>
    <w:rPr>
      <w:rFonts w:ascii="Times New Roman" w:hAnsi="Times New Roman" w:eastAsia="黑体" w:cs="Times New Roman"/>
      <w:b/>
      <w:kern w:val="0"/>
      <w:sz w:val="28"/>
      <w:szCs w:val="20"/>
      <w:lang w:val="en-GB"/>
    </w:rPr>
  </w:style>
  <w:style w:type="character" w:customStyle="1" w:styleId="68">
    <w:name w:val="批注主题 字符"/>
    <w:basedOn w:val="46"/>
    <w:autoRedefine/>
    <w:semiHidden/>
    <w:uiPriority w:val="99"/>
    <w:rPr>
      <w:rFonts w:ascii="Times New Roman" w:hAnsi="Times New Roman" w:eastAsia="宋体" w:cs="Times New Roman"/>
      <w:b/>
      <w:bCs/>
      <w:szCs w:val="24"/>
    </w:rPr>
  </w:style>
  <w:style w:type="character" w:customStyle="1" w:styleId="69">
    <w:name w:val="批注主题 字符1"/>
    <w:link w:val="24"/>
    <w:autoRedefine/>
    <w:uiPriority w:val="0"/>
    <w:rPr>
      <w:rFonts w:ascii="Times New Roman" w:hAnsi="Times New Roman" w:eastAsia="宋体" w:cs="Times New Roman"/>
      <w:b/>
      <w:bCs/>
      <w:szCs w:val="24"/>
    </w:rPr>
  </w:style>
  <w:style w:type="character" w:customStyle="1" w:styleId="70">
    <w:name w:val="正文首行缩进 Char"/>
    <w:autoRedefine/>
    <w:uiPriority w:val="0"/>
  </w:style>
  <w:style w:type="character" w:customStyle="1" w:styleId="71">
    <w:name w:val="正文缩进 Char2"/>
    <w:autoRedefine/>
    <w:uiPriority w:val="0"/>
    <w:rPr>
      <w:kern w:val="2"/>
      <w:sz w:val="21"/>
    </w:rPr>
  </w:style>
  <w:style w:type="character" w:customStyle="1" w:styleId="72">
    <w:name w:val="纯文本 Char1_3"/>
    <w:link w:val="73"/>
    <w:autoRedefine/>
    <w:uiPriority w:val="0"/>
    <w:rPr>
      <w:rFonts w:ascii="宋体" w:hAnsi="Courier New"/>
      <w:lang w:val="en-US" w:eastAsia="zh-CN"/>
    </w:rPr>
  </w:style>
  <w:style w:type="paragraph" w:customStyle="1" w:styleId="73">
    <w:name w:val="纯文本_3"/>
    <w:basedOn w:val="74"/>
    <w:link w:val="72"/>
    <w:autoRedefine/>
    <w:uiPriority w:val="0"/>
    <w:rPr>
      <w:rFonts w:ascii="宋体" w:hAnsi="Courier New" w:eastAsiaTheme="minorEastAsia" w:cstheme="minorBidi"/>
      <w:szCs w:val="22"/>
    </w:rPr>
  </w:style>
  <w:style w:type="paragraph" w:customStyle="1" w:styleId="74">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5">
    <w:name w:val="纯文本 Char1_0"/>
    <w:link w:val="76"/>
    <w:autoRedefine/>
    <w:locked/>
    <w:uiPriority w:val="0"/>
    <w:rPr>
      <w:rFonts w:ascii="宋体" w:hAnsi="Courier New"/>
      <w:lang w:val="en-US" w:eastAsia="zh-CN"/>
    </w:rPr>
  </w:style>
  <w:style w:type="paragraph" w:customStyle="1" w:styleId="76">
    <w:name w:val="纯文本_0"/>
    <w:basedOn w:val="1"/>
    <w:link w:val="75"/>
    <w:autoRedefine/>
    <w:unhideWhenUsed/>
    <w:uiPriority w:val="0"/>
    <w:rPr>
      <w:rFonts w:ascii="宋体" w:hAnsi="Courier New" w:eastAsiaTheme="minorEastAsia" w:cstheme="minorBidi"/>
      <w:szCs w:val="22"/>
    </w:rPr>
  </w:style>
  <w:style w:type="character" w:customStyle="1" w:styleId="77">
    <w:name w:val="样式1 Char"/>
    <w:link w:val="78"/>
    <w:autoRedefine/>
    <w:qFormat/>
    <w:uiPriority w:val="0"/>
    <w:rPr>
      <w:sz w:val="24"/>
    </w:rPr>
  </w:style>
  <w:style w:type="paragraph" w:customStyle="1" w:styleId="78">
    <w:name w:val="样式1"/>
    <w:basedOn w:val="1"/>
    <w:link w:val="77"/>
    <w:autoRedefine/>
    <w:qFormat/>
    <w:uiPriority w:val="0"/>
    <w:pPr>
      <w:spacing w:line="360" w:lineRule="auto"/>
      <w:ind w:firstLine="420" w:firstLineChars="200"/>
    </w:pPr>
    <w:rPr>
      <w:rFonts w:asciiTheme="minorHAnsi" w:hAnsiTheme="minorHAnsi" w:eastAsiaTheme="minorEastAsia" w:cstheme="minorBidi"/>
      <w:sz w:val="24"/>
      <w:szCs w:val="22"/>
    </w:rPr>
  </w:style>
  <w:style w:type="character" w:customStyle="1" w:styleId="79">
    <w:name w:val="纯文本 Char1_4_0"/>
    <w:link w:val="80"/>
    <w:autoRedefine/>
    <w:qFormat/>
    <w:uiPriority w:val="0"/>
    <w:rPr>
      <w:rFonts w:ascii="宋体" w:hAnsi="Courier New"/>
      <w:lang w:val="en-US" w:eastAsia="zh-CN"/>
    </w:rPr>
  </w:style>
  <w:style w:type="paragraph" w:customStyle="1" w:styleId="80">
    <w:name w:val="纯文本_4_0"/>
    <w:basedOn w:val="1"/>
    <w:link w:val="79"/>
    <w:autoRedefine/>
    <w:uiPriority w:val="0"/>
    <w:rPr>
      <w:rFonts w:ascii="宋体" w:hAnsi="Courier New" w:eastAsiaTheme="minorEastAsia" w:cstheme="minorBidi"/>
      <w:szCs w:val="22"/>
    </w:rPr>
  </w:style>
  <w:style w:type="character" w:customStyle="1" w:styleId="81">
    <w:name w:val="纯文本 Char_0"/>
    <w:link w:val="82"/>
    <w:autoRedefine/>
    <w:uiPriority w:val="0"/>
    <w:rPr>
      <w:rFonts w:ascii="宋体" w:hAnsi="Courier New"/>
      <w:szCs w:val="21"/>
      <w:lang w:val="en-US" w:eastAsia="zh-CN"/>
    </w:rPr>
  </w:style>
  <w:style w:type="paragraph" w:customStyle="1" w:styleId="82">
    <w:name w:val="纯文本_0_0"/>
    <w:basedOn w:val="83"/>
    <w:link w:val="81"/>
    <w:autoRedefine/>
    <w:qFormat/>
    <w:uiPriority w:val="0"/>
    <w:rPr>
      <w:rFonts w:ascii="宋体" w:hAnsi="Courier New" w:eastAsiaTheme="minorEastAsia" w:cstheme="minorBidi"/>
      <w:szCs w:val="21"/>
    </w:rPr>
  </w:style>
  <w:style w:type="paragraph" w:customStyle="1" w:styleId="8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正文文本缩进 2 Char"/>
    <w:autoRedefine/>
    <w:semiHidden/>
    <w:uiPriority w:val="99"/>
  </w:style>
  <w:style w:type="character" w:customStyle="1" w:styleId="85">
    <w:name w:val="纯文本 Char1_4_3"/>
    <w:autoRedefine/>
    <w:uiPriority w:val="0"/>
    <w:rPr>
      <w:rFonts w:ascii="宋体" w:hAnsi="Courier New"/>
      <w:kern w:val="2"/>
      <w:sz w:val="21"/>
      <w:lang w:val="en-US" w:eastAsia="zh-CN"/>
    </w:rPr>
  </w:style>
  <w:style w:type="character" w:customStyle="1" w:styleId="86">
    <w:name w:val="纯文本 Char1_1"/>
    <w:link w:val="87"/>
    <w:autoRedefine/>
    <w:uiPriority w:val="0"/>
    <w:rPr>
      <w:rFonts w:ascii="宋体" w:hAnsi="Courier New"/>
      <w:lang w:val="en-US" w:eastAsia="zh-CN"/>
    </w:rPr>
  </w:style>
  <w:style w:type="paragraph" w:customStyle="1" w:styleId="87">
    <w:name w:val="纯文本_1"/>
    <w:basedOn w:val="1"/>
    <w:link w:val="86"/>
    <w:autoRedefine/>
    <w:uiPriority w:val="0"/>
    <w:rPr>
      <w:rFonts w:ascii="宋体" w:hAnsi="Courier New" w:eastAsiaTheme="minorEastAsia" w:cstheme="minorBidi"/>
      <w:szCs w:val="22"/>
    </w:rPr>
  </w:style>
  <w:style w:type="character" w:customStyle="1" w:styleId="88">
    <w:name w:val="px141"/>
    <w:autoRedefine/>
    <w:qFormat/>
    <w:uiPriority w:val="0"/>
    <w:rPr>
      <w:rFonts w:hint="default"/>
      <w:sz w:val="21"/>
      <w:szCs w:val="21"/>
    </w:rPr>
  </w:style>
  <w:style w:type="character" w:customStyle="1" w:styleId="89">
    <w:name w:val="p141"/>
    <w:autoRedefine/>
    <w:uiPriority w:val="0"/>
    <w:rPr>
      <w:sz w:val="21"/>
      <w:u w:val="none"/>
    </w:rPr>
  </w:style>
  <w:style w:type="character" w:customStyle="1" w:styleId="90">
    <w:name w:val="标题 Char1"/>
    <w:autoRedefine/>
    <w:qFormat/>
    <w:uiPriority w:val="0"/>
    <w:rPr>
      <w:rFonts w:ascii="Cambria" w:hAnsi="Cambria" w:cs="Times New Roman"/>
      <w:b/>
      <w:bCs/>
      <w:kern w:val="2"/>
      <w:sz w:val="32"/>
      <w:szCs w:val="32"/>
    </w:rPr>
  </w:style>
  <w:style w:type="character" w:customStyle="1" w:styleId="91">
    <w:name w:val="列表段落 字符1"/>
    <w:link w:val="53"/>
    <w:autoRedefine/>
    <w:qFormat/>
    <w:uiPriority w:val="0"/>
    <w:rPr>
      <w:sz w:val="24"/>
      <w:szCs w:val="24"/>
    </w:rPr>
  </w:style>
  <w:style w:type="character" w:customStyle="1" w:styleId="92">
    <w:name w:val="纯文本 Char1_4"/>
    <w:link w:val="93"/>
    <w:autoRedefine/>
    <w:uiPriority w:val="0"/>
    <w:rPr>
      <w:rFonts w:ascii="宋体" w:hAnsi="Courier New"/>
    </w:rPr>
  </w:style>
  <w:style w:type="paragraph" w:customStyle="1" w:styleId="93">
    <w:name w:val="纯文本_5_0"/>
    <w:basedOn w:val="1"/>
    <w:link w:val="92"/>
    <w:autoRedefine/>
    <w:uiPriority w:val="0"/>
    <w:rPr>
      <w:rFonts w:ascii="宋体" w:hAnsi="Courier New" w:eastAsiaTheme="minorEastAsia" w:cstheme="minorBidi"/>
      <w:szCs w:val="22"/>
    </w:rPr>
  </w:style>
  <w:style w:type="character" w:customStyle="1" w:styleId="94">
    <w:name w:val="Char Char1"/>
    <w:link w:val="95"/>
    <w:autoRedefine/>
    <w:qFormat/>
    <w:locked/>
    <w:uiPriority w:val="0"/>
    <w:rPr>
      <w:rFonts w:ascii="Tahoma" w:hAnsi="Tahoma" w:cs="Tahoma"/>
      <w:sz w:val="24"/>
    </w:rPr>
  </w:style>
  <w:style w:type="paragraph" w:customStyle="1" w:styleId="95">
    <w:name w:val="Char"/>
    <w:basedOn w:val="1"/>
    <w:link w:val="94"/>
    <w:autoRedefine/>
    <w:uiPriority w:val="0"/>
    <w:rPr>
      <w:rFonts w:ascii="Tahoma" w:hAnsi="Tahoma" w:cs="Tahoma" w:eastAsiaTheme="minorEastAsia"/>
      <w:sz w:val="24"/>
      <w:szCs w:val="22"/>
    </w:rPr>
  </w:style>
  <w:style w:type="character" w:customStyle="1" w:styleId="96">
    <w:name w:val="bookmark-item"/>
    <w:autoRedefine/>
    <w:uiPriority w:val="0"/>
  </w:style>
  <w:style w:type="character" w:customStyle="1" w:styleId="97">
    <w:name w:val="列表段落 字符"/>
    <w:link w:val="98"/>
    <w:autoRedefine/>
    <w:qFormat/>
    <w:uiPriority w:val="0"/>
    <w:rPr>
      <w:sz w:val="24"/>
      <w:szCs w:val="24"/>
    </w:rPr>
  </w:style>
  <w:style w:type="paragraph" w:customStyle="1" w:styleId="98">
    <w:name w:val="_Style 108"/>
    <w:basedOn w:val="1"/>
    <w:next w:val="53"/>
    <w:link w:val="97"/>
    <w:autoRedefine/>
    <w:qFormat/>
    <w:uiPriority w:val="0"/>
    <w:pPr>
      <w:ind w:firstLine="420" w:firstLineChars="200"/>
    </w:pPr>
    <w:rPr>
      <w:rFonts w:asciiTheme="minorHAnsi" w:hAnsiTheme="minorHAnsi" w:eastAsiaTheme="minorEastAsia" w:cstheme="minorBidi"/>
      <w:sz w:val="24"/>
    </w:rPr>
  </w:style>
  <w:style w:type="paragraph" w:customStyle="1" w:styleId="99">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普通(网站)_0"/>
    <w:basedOn w:val="1"/>
    <w:autoRedefine/>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01">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Normal_2"/>
    <w:autoRedefine/>
    <w:qFormat/>
    <w:uiPriority w:val="0"/>
    <w:rPr>
      <w:rFonts w:ascii="黑体" w:hAnsi="黑体" w:eastAsia="黑体" w:cs="Times New Roman"/>
      <w:b/>
      <w:sz w:val="32"/>
      <w:szCs w:val="24"/>
      <w:lang w:val="en-US" w:eastAsia="zh-CN" w:bidi="ar-SA"/>
    </w:rPr>
  </w:style>
  <w:style w:type="paragraph" w:customStyle="1" w:styleId="103">
    <w:name w:val="正文_18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样式6"/>
    <w:basedOn w:val="1"/>
    <w:autoRedefine/>
    <w:qFormat/>
    <w:uiPriority w:val="0"/>
    <w:pPr>
      <w:spacing w:line="360" w:lineRule="auto"/>
      <w:ind w:firstLine="200" w:firstLineChars="200"/>
      <w:jc w:val="left"/>
    </w:pPr>
    <w:rPr>
      <w:sz w:val="24"/>
    </w:rPr>
  </w:style>
  <w:style w:type="paragraph" w:customStyle="1" w:styleId="105">
    <w:name w:val="正文（首行缩进两字）"/>
    <w:basedOn w:val="1"/>
    <w:next w:val="1"/>
    <w:autoRedefine/>
    <w:uiPriority w:val="0"/>
    <w:pPr>
      <w:widowControl/>
      <w:ind w:firstLine="420"/>
    </w:pPr>
    <w:rPr>
      <w:rFonts w:ascii="宋体"/>
      <w:color w:val="000000"/>
      <w:szCs w:val="20"/>
    </w:rPr>
  </w:style>
  <w:style w:type="paragraph" w:customStyle="1" w:styleId="106">
    <w:name w:val="正文_1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7">
    <w:name w:val="样式 正文缩进 + 首行缩进:  2 字符"/>
    <w:basedOn w:val="5"/>
    <w:autoRedefine/>
    <w:uiPriority w:val="99"/>
    <w:pPr>
      <w:spacing w:line="360" w:lineRule="auto"/>
      <w:ind w:firstLine="200" w:firstLineChars="200"/>
    </w:pPr>
    <w:rPr>
      <w:rFonts w:cs="宋体"/>
      <w:sz w:val="24"/>
    </w:rPr>
  </w:style>
  <w:style w:type="paragraph" w:customStyle="1" w:styleId="108">
    <w:name w:val="正文文字缩进"/>
    <w:basedOn w:val="1"/>
    <w:next w:val="1"/>
    <w:autoRedefine/>
    <w:qFormat/>
    <w:uiPriority w:val="0"/>
    <w:pPr>
      <w:widowControl/>
      <w:spacing w:line="400" w:lineRule="atLeast"/>
      <w:ind w:left="210" w:firstLine="210"/>
    </w:pPr>
    <w:rPr>
      <w:rFonts w:ascii="宋体"/>
      <w:color w:val="000000"/>
      <w:szCs w:val="20"/>
    </w:rPr>
  </w:style>
  <w:style w:type="paragraph" w:customStyle="1" w:styleId="109">
    <w:name w:val="正文_8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0">
    <w:name w:val="正文 New"/>
    <w:autoRedefine/>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Normal_1"/>
    <w:autoRedefine/>
    <w:qFormat/>
    <w:uiPriority w:val="0"/>
    <w:rPr>
      <w:rFonts w:ascii="黑体" w:hAnsi="黑体" w:eastAsia="黑体" w:cs="Times New Roman"/>
      <w:b/>
      <w:sz w:val="32"/>
      <w:szCs w:val="24"/>
      <w:lang w:val="en-US" w:eastAsia="zh-CN" w:bidi="ar-SA"/>
    </w:rPr>
  </w:style>
  <w:style w:type="paragraph" w:customStyle="1" w:styleId="112">
    <w:name w:val="Normal_22"/>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113">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4">
    <w:name w:val="正文_15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正文_8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正文_2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正文_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8">
    <w:name w:val="Default"/>
    <w:autoRedefine/>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9">
    <w:name w:val="纯文本1"/>
    <w:basedOn w:val="1"/>
    <w:autoRedefine/>
    <w:uiPriority w:val="0"/>
    <w:pPr>
      <w:adjustRightInd w:val="0"/>
      <w:jc w:val="left"/>
      <w:textAlignment w:val="baseline"/>
    </w:pPr>
    <w:rPr>
      <w:rFonts w:ascii="宋体" w:hAnsi="Courier New"/>
      <w:sz w:val="24"/>
      <w:szCs w:val="20"/>
    </w:rPr>
  </w:style>
  <w:style w:type="paragraph" w:customStyle="1" w:styleId="120">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
    <w:name w:val="正文空2格  1."/>
    <w:basedOn w:val="1"/>
    <w:autoRedefine/>
    <w:qFormat/>
    <w:uiPriority w:val="0"/>
    <w:pPr>
      <w:adjustRightInd w:val="0"/>
      <w:spacing w:line="360" w:lineRule="auto"/>
      <w:ind w:firstLine="480" w:firstLineChars="200"/>
      <w:textAlignment w:val="baseline"/>
    </w:pPr>
    <w:rPr>
      <w:rFonts w:ascii="宋体" w:eastAsia="仿宋" w:cs="宋体"/>
      <w:kern w:val="0"/>
      <w:sz w:val="28"/>
      <w:szCs w:val="20"/>
    </w:rPr>
  </w:style>
  <w:style w:type="paragraph" w:customStyle="1" w:styleId="123">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4">
    <w:name w:val="首行缩进"/>
    <w:basedOn w:val="1"/>
    <w:autoRedefine/>
    <w:qFormat/>
    <w:uiPriority w:val="99"/>
    <w:pPr>
      <w:adjustRightInd w:val="0"/>
      <w:spacing w:line="360" w:lineRule="auto"/>
      <w:ind w:firstLine="480" w:firstLineChars="200"/>
    </w:pPr>
    <w:rPr>
      <w:sz w:val="24"/>
      <w:lang w:val="zh-CN"/>
    </w:rPr>
  </w:style>
  <w:style w:type="character" w:customStyle="1" w:styleId="125">
    <w:name w:val="￥正文 Char"/>
    <w:link w:val="126"/>
    <w:autoRedefine/>
    <w:qFormat/>
    <w:uiPriority w:val="0"/>
    <w:rPr>
      <w:rFonts w:ascii="宋体" w:hAnsi="Calibri" w:eastAsia="仿宋"/>
      <w:sz w:val="32"/>
    </w:rPr>
  </w:style>
  <w:style w:type="paragraph" w:customStyle="1" w:styleId="126">
    <w:name w:val="￥正文"/>
    <w:basedOn w:val="1"/>
    <w:link w:val="125"/>
    <w:autoRedefine/>
    <w:qFormat/>
    <w:uiPriority w:val="0"/>
    <w:pPr>
      <w:spacing w:line="360" w:lineRule="auto"/>
      <w:ind w:firstLine="200" w:firstLineChars="200"/>
    </w:pPr>
    <w:rPr>
      <w:rFonts w:ascii="宋体" w:hAnsi="Calibri" w:eastAsia="仿宋" w:cstheme="minorBidi"/>
      <w:sz w:val="32"/>
      <w:szCs w:val="22"/>
    </w:rPr>
  </w:style>
  <w:style w:type="paragraph" w:customStyle="1" w:styleId="127">
    <w:name w:val="投标正文"/>
    <w:basedOn w:val="1"/>
    <w:link w:val="128"/>
    <w:autoRedefine/>
    <w:qFormat/>
    <w:uiPriority w:val="0"/>
    <w:pPr>
      <w:spacing w:line="360" w:lineRule="auto"/>
      <w:ind w:left="100" w:firstLine="480" w:firstLineChars="200"/>
    </w:pPr>
    <w:rPr>
      <w:rFonts w:ascii="Calibri" w:hAnsi="Calibri"/>
      <w:sz w:val="24"/>
    </w:rPr>
  </w:style>
  <w:style w:type="character" w:customStyle="1" w:styleId="128">
    <w:name w:val="投标正文 Char"/>
    <w:link w:val="127"/>
    <w:autoRedefine/>
    <w:qFormat/>
    <w:uiPriority w:val="0"/>
    <w:rPr>
      <w:rFonts w:ascii="Calibri" w:hAnsi="Calibri" w:eastAsia="宋体" w:cs="Times New Roman"/>
      <w:sz w:val="24"/>
      <w:szCs w:val="24"/>
    </w:rPr>
  </w:style>
  <w:style w:type="character" w:customStyle="1" w:styleId="129">
    <w:name w:val="NormalCharacter"/>
    <w:autoRedefine/>
    <w:qFormat/>
    <w:uiPriority w:val="0"/>
  </w:style>
  <w:style w:type="character" w:customStyle="1" w:styleId="130">
    <w:name w:val="font81"/>
    <w:autoRedefine/>
    <w:qFormat/>
    <w:uiPriority w:val="0"/>
    <w:rPr>
      <w:rFonts w:hint="eastAsia" w:ascii="宋体" w:hAnsi="宋体" w:eastAsia="宋体" w:cs="宋体"/>
      <w:color w:val="000000"/>
      <w:sz w:val="24"/>
      <w:szCs w:val="24"/>
      <w:u w:val="none"/>
    </w:rPr>
  </w:style>
  <w:style w:type="paragraph" w:customStyle="1" w:styleId="131">
    <w:name w:val="列出段落1"/>
    <w:basedOn w:val="1"/>
    <w:autoRedefine/>
    <w:qFormat/>
    <w:uiPriority w:val="34"/>
    <w:pPr>
      <w:ind w:firstLine="420" w:firstLineChars="200"/>
    </w:pPr>
    <w:rPr>
      <w:rFonts w:ascii="Calibri" w:hAnsi="Calibri"/>
    </w:rPr>
  </w:style>
  <w:style w:type="paragraph" w:customStyle="1" w:styleId="132">
    <w:name w:val="首行缩进正文"/>
    <w:basedOn w:val="1"/>
    <w:link w:val="133"/>
    <w:autoRedefine/>
    <w:qFormat/>
    <w:uiPriority w:val="0"/>
    <w:pPr>
      <w:adjustRightInd w:val="0"/>
      <w:snapToGrid w:val="0"/>
      <w:spacing w:line="360" w:lineRule="auto"/>
      <w:ind w:firstLine="200" w:firstLineChars="200"/>
    </w:pPr>
    <w:rPr>
      <w:rFonts w:ascii="Calibri" w:hAnsi="Calibri"/>
      <w:kern w:val="0"/>
    </w:rPr>
  </w:style>
  <w:style w:type="character" w:customStyle="1" w:styleId="133">
    <w:name w:val="首行缩进正文 字符"/>
    <w:link w:val="132"/>
    <w:autoRedefine/>
    <w:qFormat/>
    <w:uiPriority w:val="0"/>
    <w:rPr>
      <w:rFonts w:ascii="Calibri" w:hAnsi="Calibri" w:eastAsia="宋体" w:cs="Times New Roman"/>
      <w:kern w:val="0"/>
      <w:szCs w:val="24"/>
    </w:rPr>
  </w:style>
  <w:style w:type="paragraph" w:customStyle="1" w:styleId="134">
    <w:name w:val="列表段落1"/>
    <w:basedOn w:val="1"/>
    <w:autoRedefine/>
    <w:qFormat/>
    <w:uiPriority w:val="34"/>
    <w:pPr>
      <w:wordWrap w:val="0"/>
      <w:spacing w:line="360" w:lineRule="auto"/>
      <w:ind w:firstLine="420" w:firstLineChars="200"/>
      <w:jc w:val="left"/>
    </w:pPr>
    <w:rPr>
      <w:rFonts w:ascii="Calibri" w:hAnsi="Calibri" w:eastAsia="仿宋_GB2312"/>
      <w:sz w:val="32"/>
    </w:rPr>
  </w:style>
  <w:style w:type="character" w:customStyle="1" w:styleId="135">
    <w:name w:val="批注文字 Char1"/>
    <w:autoRedefine/>
    <w:qFormat/>
    <w:uiPriority w:val="99"/>
    <w:rPr>
      <w:kern w:val="2"/>
      <w:sz w:val="21"/>
      <w:szCs w:val="24"/>
    </w:rPr>
  </w:style>
  <w:style w:type="character" w:customStyle="1" w:styleId="136">
    <w:name w:val="HTML 预设格式 字符"/>
    <w:basedOn w:val="28"/>
    <w:autoRedefine/>
    <w:semiHidden/>
    <w:qFormat/>
    <w:uiPriority w:val="99"/>
    <w:rPr>
      <w:rFonts w:ascii="Courier New" w:hAnsi="Courier New" w:eastAsia="宋体" w:cs="Courier New"/>
      <w:sz w:val="20"/>
      <w:szCs w:val="20"/>
    </w:rPr>
  </w:style>
  <w:style w:type="character" w:customStyle="1" w:styleId="137">
    <w:name w:val="HTML 预设格式 字符1"/>
    <w:link w:val="21"/>
    <w:autoRedefine/>
    <w:qFormat/>
    <w:uiPriority w:val="0"/>
    <w:rPr>
      <w:rFonts w:ascii="Arial Unicode MS" w:hAnsi="Arial Unicode MS" w:eastAsia="Arial Unicode MS" w:cs="Times New Roman"/>
      <w:kern w:val="0"/>
      <w:sz w:val="20"/>
      <w:szCs w:val="20"/>
    </w:rPr>
  </w:style>
  <w:style w:type="character" w:customStyle="1" w:styleId="138">
    <w:name w:val="正文缩进 Char1"/>
    <w:autoRedefine/>
    <w:qFormat/>
    <w:uiPriority w:val="0"/>
    <w:rPr>
      <w:kern w:val="2"/>
      <w:sz w:val="21"/>
    </w:rPr>
  </w:style>
  <w:style w:type="paragraph" w:customStyle="1" w:styleId="139">
    <w:name w:val="Default Text"/>
    <w:basedOn w:val="1"/>
    <w:autoRedefine/>
    <w:qFormat/>
    <w:uiPriority w:val="0"/>
    <w:pPr>
      <w:autoSpaceDE w:val="0"/>
      <w:autoSpaceDN w:val="0"/>
      <w:adjustRightInd w:val="0"/>
      <w:jc w:val="left"/>
    </w:pPr>
    <w:rPr>
      <w:rFonts w:cs="宋体"/>
      <w:kern w:val="0"/>
      <w:sz w:val="24"/>
    </w:rPr>
  </w:style>
  <w:style w:type="character" w:customStyle="1" w:styleId="140">
    <w:name w:val="正文文本首行缩进 字符"/>
    <w:basedOn w:val="48"/>
    <w:link w:val="25"/>
    <w:autoRedefine/>
    <w:semiHidden/>
    <w:qFormat/>
    <w:uiPriority w:val="99"/>
    <w:rPr>
      <w:rFonts w:ascii="Times New Roman" w:hAnsi="Times New Roman" w:eastAsia="宋体" w:cs="Times New Roman"/>
      <w:szCs w:val="24"/>
    </w:rPr>
  </w:style>
  <w:style w:type="character" w:customStyle="1" w:styleId="141">
    <w:name w:val="Unresolved Mention"/>
    <w:basedOn w:val="2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7996</Words>
  <Characters>8900</Characters>
  <Lines>69</Lines>
  <Paragraphs>19</Paragraphs>
  <TotalTime>37</TotalTime>
  <ScaleCrop>false</ScaleCrop>
  <LinksUpToDate>false</LinksUpToDate>
  <CharactersWithSpaces>9231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2025-05-06T00:45:00Z</dcterms:created>
  <dc:creator>朱 毛</dc:creator>
  <cp:lastModifiedBy>lsxyywj</cp:lastModifiedBy>
  <dcterms:modified xsi:type="dcterms:W3CDTF">2025-05-27T02:44:09Z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F49666CA81734B3A86A27B0A79AB79AF_13</vt:lpwstr>
  </property>
  <property fmtid="{D5CDD505-2E9C-101B-9397-08002B2CF9AE}" pid="4" name="KSOTemplateDocerSaveRecord">
    <vt:lpwstr>eyJoZGlkIjoiNmFlOTI2ZDM3YTFjNjdmYTkyNTNmODFlOTNlYzA3OWMiLCJ1c2VySWQiOiIyMTE3Nzc4MjcifQ==</vt:lpwstr>
  </property>
</Properties>
</file>