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仿宋_GB2312" w:eastAsia="仿宋_GB2312"/>
          <w:szCs w:val="32"/>
        </w:rPr>
      </w:pPr>
      <w:bookmarkStart w:id="180" w:name="_GoBack"/>
      <w:bookmarkStart w:id="0" w:name="OLE_LINK1"/>
      <w:r>
        <w:rPr>
          <w:rFonts w:hint="eastAsia" w:ascii="仿宋_GB2312" w:eastAsia="仿宋_GB2312"/>
          <w:szCs w:val="32"/>
        </w:rPr>
        <w:t>政府采购合同参考范本</w:t>
      </w:r>
    </w:p>
    <w:p>
      <w:pPr>
        <w:pStyle w:val="2"/>
        <w:spacing w:before="0" w:after="0" w:line="360" w:lineRule="auto"/>
        <w:jc w:val="center"/>
        <w:rPr>
          <w:rFonts w:ascii="仿宋_GB2312" w:eastAsia="仿宋_GB2312"/>
          <w:color w:val="auto"/>
          <w:szCs w:val="32"/>
          <w:lang w:val="en-US"/>
        </w:rPr>
      </w:pPr>
      <w:r>
        <w:rPr>
          <w:rFonts w:hint="eastAsia" w:ascii="仿宋" w:hAnsi="仿宋" w:eastAsia="仿宋"/>
          <w:color w:val="auto"/>
          <w:szCs w:val="32"/>
        </w:rPr>
        <w:t>（服务类）</w:t>
      </w:r>
      <w:bookmarkEnd w:id="180"/>
    </w:p>
    <w:bookmarkEnd w:id="0"/>
    <w:p>
      <w:pPr>
        <w:widowControl/>
        <w:spacing w:line="360" w:lineRule="auto"/>
        <w:ind w:firstLine="5760" w:firstLineChars="2400"/>
        <w:rPr>
          <w:rFonts w:hint="eastAsia" w:ascii="仿宋" w:hAnsi="仿宋" w:eastAsia="仿宋"/>
          <w:kern w:val="0"/>
          <w:sz w:val="24"/>
        </w:rPr>
      </w:pPr>
    </w:p>
    <w:p>
      <w:pPr>
        <w:widowControl/>
        <w:spacing w:line="360" w:lineRule="auto"/>
        <w:ind w:firstLine="5760" w:firstLineChars="2400"/>
        <w:rPr>
          <w:rFonts w:ascii="仿宋" w:hAnsi="仿宋" w:eastAsia="仿宋"/>
          <w:kern w:val="0"/>
          <w:sz w:val="24"/>
        </w:rPr>
      </w:pPr>
      <w:r>
        <w:rPr>
          <w:rFonts w:hint="eastAsia" w:ascii="仿宋" w:hAnsi="仿宋" w:eastAsia="仿宋"/>
          <w:kern w:val="0"/>
          <w:sz w:val="24"/>
        </w:rPr>
        <w:t>合同编号：_________</w:t>
      </w:r>
    </w:p>
    <w:p>
      <w:pPr>
        <w:pStyle w:val="9"/>
        <w:spacing w:line="360" w:lineRule="auto"/>
        <w:ind w:firstLine="0"/>
        <w:rPr>
          <w:rFonts w:ascii="仿宋_GB2312" w:hAnsi="楷体" w:eastAsia="仿宋_GB2312"/>
          <w:szCs w:val="24"/>
        </w:rPr>
      </w:pPr>
    </w:p>
    <w:p>
      <w:pPr>
        <w:pStyle w:val="9"/>
        <w:spacing w:line="360" w:lineRule="auto"/>
        <w:ind w:firstLine="0"/>
        <w:rPr>
          <w:rFonts w:ascii="仿宋_GB2312" w:hAnsi="楷体" w:eastAsia="仿宋_GB2312"/>
          <w:szCs w:val="24"/>
        </w:rPr>
      </w:pPr>
    </w:p>
    <w:p>
      <w:pPr>
        <w:pStyle w:val="9"/>
        <w:spacing w:line="360" w:lineRule="auto"/>
        <w:ind w:firstLine="0"/>
        <w:jc w:val="center"/>
        <w:rPr>
          <w:rFonts w:ascii="仿宋_GB2312" w:hAnsi="楷体" w:eastAsia="仿宋_GB2312"/>
          <w:b/>
          <w:szCs w:val="24"/>
        </w:rPr>
      </w:pPr>
      <w:r>
        <w:rPr>
          <w:rFonts w:hint="eastAsia" w:ascii="仿宋_GB2312" w:hAnsi="楷体" w:eastAsia="仿宋_GB2312"/>
          <w:b/>
          <w:szCs w:val="24"/>
        </w:rPr>
        <w:t>第一部分 合同书</w:t>
      </w:r>
    </w:p>
    <w:p>
      <w:pPr>
        <w:pStyle w:val="9"/>
        <w:spacing w:line="360" w:lineRule="auto"/>
        <w:ind w:firstLine="0"/>
        <w:rPr>
          <w:rFonts w:ascii="仿宋_GB2312" w:hAnsi="楷体" w:eastAsia="仿宋_GB2312"/>
          <w:szCs w:val="24"/>
        </w:rPr>
      </w:pPr>
    </w:p>
    <w:p>
      <w:pPr>
        <w:pStyle w:val="9"/>
        <w:spacing w:line="360" w:lineRule="auto"/>
        <w:ind w:firstLine="0"/>
        <w:rPr>
          <w:rFonts w:ascii="仿宋_GB2312" w:hAnsi="楷体" w:eastAsia="仿宋_GB2312"/>
          <w:szCs w:val="24"/>
        </w:rPr>
      </w:pPr>
    </w:p>
    <w:p>
      <w:pPr>
        <w:spacing w:line="360" w:lineRule="auto"/>
        <w:rPr>
          <w:rFonts w:ascii="仿宋_GB2312" w:hAnsi="楷体"/>
          <w:sz w:val="24"/>
        </w:rPr>
      </w:pPr>
    </w:p>
    <w:p>
      <w:pPr>
        <w:spacing w:line="360" w:lineRule="auto"/>
        <w:ind w:left="960"/>
        <w:rPr>
          <w:rFonts w:ascii="仿宋_GB2312" w:hAnsi="楷体"/>
          <w:sz w:val="24"/>
        </w:rPr>
      </w:pPr>
      <w:r>
        <w:rPr>
          <w:rFonts w:hint="eastAsia" w:ascii="仿宋_GB2312" w:hAnsi="楷体"/>
          <w:sz w:val="24"/>
        </w:rPr>
        <w:t>项目名称：</w:t>
      </w:r>
      <w:r>
        <w:rPr>
          <w:rFonts w:hint="eastAsia" w:ascii="仿宋_GB2312" w:hAnsi="楷体"/>
          <w:sz w:val="24"/>
          <w:u w:val="single"/>
        </w:rPr>
        <w:t xml:space="preserve">                                   </w:t>
      </w:r>
    </w:p>
    <w:p>
      <w:pPr>
        <w:pStyle w:val="10"/>
        <w:rPr>
          <w:rFonts w:hAnsi="楷体"/>
          <w:szCs w:val="24"/>
        </w:rPr>
      </w:pPr>
    </w:p>
    <w:p>
      <w:pPr>
        <w:pStyle w:val="10"/>
        <w:rPr>
          <w:rFonts w:hAnsi="楷体"/>
          <w:szCs w:val="24"/>
        </w:rPr>
      </w:pPr>
    </w:p>
    <w:p>
      <w:pPr>
        <w:spacing w:line="360" w:lineRule="auto"/>
        <w:rPr>
          <w:rFonts w:ascii="仿宋_GB2312"/>
          <w:sz w:val="24"/>
        </w:rPr>
      </w:pPr>
    </w:p>
    <w:p>
      <w:pPr>
        <w:spacing w:line="360" w:lineRule="auto"/>
        <w:ind w:left="960"/>
        <w:rPr>
          <w:rFonts w:ascii="仿宋_GB2312" w:hAnsi="楷体"/>
          <w:sz w:val="24"/>
          <w:u w:val="single"/>
        </w:rPr>
      </w:pPr>
      <w:r>
        <w:rPr>
          <w:rFonts w:hint="eastAsia" w:ascii="仿宋_GB2312" w:hAnsi="楷体"/>
          <w:sz w:val="24"/>
        </w:rPr>
        <w:t>甲方：</w:t>
      </w:r>
      <w:r>
        <w:rPr>
          <w:rFonts w:hint="eastAsia" w:ascii="仿宋_GB2312" w:hAnsi="楷体"/>
          <w:sz w:val="24"/>
          <w:u w:val="single"/>
        </w:rPr>
        <w:t xml:space="preserve">                                       </w:t>
      </w:r>
    </w:p>
    <w:p>
      <w:pPr>
        <w:spacing w:line="360" w:lineRule="auto"/>
        <w:rPr>
          <w:rFonts w:ascii="仿宋_GB2312" w:hAnsi="楷体"/>
          <w:sz w:val="24"/>
        </w:rPr>
      </w:pPr>
    </w:p>
    <w:p>
      <w:pPr>
        <w:spacing w:line="360" w:lineRule="auto"/>
        <w:ind w:left="960"/>
        <w:rPr>
          <w:rFonts w:ascii="仿宋_GB2312" w:hAnsi="楷体"/>
          <w:sz w:val="24"/>
          <w:u w:val="single"/>
        </w:rPr>
      </w:pPr>
      <w:r>
        <w:rPr>
          <w:rFonts w:hint="eastAsia" w:ascii="仿宋_GB2312" w:hAnsi="楷体"/>
          <w:sz w:val="24"/>
        </w:rPr>
        <w:t>乙方：</w:t>
      </w:r>
      <w:r>
        <w:rPr>
          <w:rFonts w:hint="eastAsia" w:ascii="仿宋_GB2312" w:hAnsi="楷体"/>
          <w:sz w:val="24"/>
          <w:u w:val="single"/>
        </w:rPr>
        <w:t xml:space="preserve">                                       </w:t>
      </w:r>
    </w:p>
    <w:p>
      <w:pPr>
        <w:spacing w:line="360" w:lineRule="auto"/>
        <w:rPr>
          <w:rFonts w:ascii="仿宋_GB2312" w:hAnsi="楷体"/>
          <w:sz w:val="24"/>
        </w:rPr>
      </w:pPr>
    </w:p>
    <w:p>
      <w:pPr>
        <w:spacing w:line="360" w:lineRule="auto"/>
        <w:ind w:firstLine="960" w:firstLineChars="400"/>
        <w:rPr>
          <w:rFonts w:ascii="仿宋_GB2312" w:hAnsi="楷体"/>
          <w:sz w:val="24"/>
          <w:u w:val="single"/>
        </w:rPr>
      </w:pPr>
      <w:r>
        <w:rPr>
          <w:rFonts w:hint="eastAsia" w:ascii="仿宋_GB2312" w:hAnsi="楷体"/>
          <w:sz w:val="24"/>
        </w:rPr>
        <w:t>签订地：</w:t>
      </w:r>
      <w:r>
        <w:rPr>
          <w:rFonts w:hint="eastAsia" w:ascii="仿宋_GB2312" w:hAnsi="楷体"/>
          <w:sz w:val="24"/>
          <w:u w:val="single"/>
        </w:rPr>
        <w:t xml:space="preserve">                                     </w:t>
      </w:r>
    </w:p>
    <w:p>
      <w:pPr>
        <w:spacing w:line="360" w:lineRule="auto"/>
        <w:rPr>
          <w:rFonts w:ascii="仿宋_GB2312" w:hAnsi="楷体"/>
          <w:sz w:val="24"/>
        </w:rPr>
      </w:pPr>
    </w:p>
    <w:p>
      <w:pPr>
        <w:spacing w:line="360" w:lineRule="auto"/>
        <w:ind w:firstLine="960" w:firstLineChars="400"/>
        <w:rPr>
          <w:rFonts w:ascii="仿宋_GB2312" w:hAnsi="楷体"/>
          <w:sz w:val="24"/>
        </w:rPr>
      </w:pPr>
      <w:r>
        <w:rPr>
          <w:rFonts w:hint="eastAsia" w:ascii="仿宋_GB2312" w:hAnsi="楷体"/>
          <w:sz w:val="24"/>
        </w:rPr>
        <w:t>签订日期：</w:t>
      </w:r>
      <w:r>
        <w:rPr>
          <w:rFonts w:hint="eastAsia" w:ascii="仿宋_GB2312" w:hAnsi="楷体"/>
          <w:sz w:val="24"/>
          <w:u w:val="single"/>
        </w:rPr>
        <w:t xml:space="preserve">               </w:t>
      </w:r>
      <w:r>
        <w:rPr>
          <w:rFonts w:hint="eastAsia" w:ascii="仿宋_GB2312" w:hAnsi="楷体"/>
          <w:sz w:val="24"/>
        </w:rPr>
        <w:t>年</w:t>
      </w:r>
      <w:r>
        <w:rPr>
          <w:rFonts w:hint="eastAsia" w:ascii="仿宋_GB2312" w:hAnsi="楷体"/>
          <w:sz w:val="24"/>
          <w:u w:val="single"/>
        </w:rPr>
        <w:t xml:space="preserve">       </w:t>
      </w:r>
      <w:r>
        <w:rPr>
          <w:rFonts w:hint="eastAsia" w:ascii="仿宋_GB2312" w:hAnsi="楷体"/>
          <w:sz w:val="24"/>
        </w:rPr>
        <w:t>月</w:t>
      </w:r>
      <w:r>
        <w:rPr>
          <w:rFonts w:hint="eastAsia" w:ascii="仿宋_GB2312" w:hAnsi="楷体"/>
          <w:sz w:val="24"/>
          <w:u w:val="single"/>
        </w:rPr>
        <w:t xml:space="preserve">       </w:t>
      </w:r>
      <w:r>
        <w:rPr>
          <w:rFonts w:hint="eastAsia" w:ascii="仿宋_GB2312" w:hAnsi="楷体"/>
          <w:sz w:val="24"/>
        </w:rPr>
        <w:t>日</w:t>
      </w:r>
    </w:p>
    <w:p>
      <w:pPr>
        <w:spacing w:line="360" w:lineRule="auto"/>
        <w:rPr>
          <w:rFonts w:ascii="仿宋_GB2312" w:hAnsi="楷体"/>
          <w:sz w:val="24"/>
          <w:u w:val="single"/>
        </w:rPr>
      </w:pPr>
    </w:p>
    <w:p>
      <w:pPr>
        <w:autoSpaceDE w:val="0"/>
        <w:autoSpaceDN w:val="0"/>
        <w:adjustRightInd w:val="0"/>
        <w:spacing w:line="360" w:lineRule="auto"/>
        <w:ind w:firstLine="640"/>
        <w:jc w:val="center"/>
        <w:rPr>
          <w:rFonts w:ascii="仿宋_GB2312" w:hAnsi="宋体"/>
          <w:sz w:val="24"/>
        </w:rPr>
        <w:sectPr>
          <w:pgSz w:w="11907" w:h="16840"/>
          <w:pgMar w:top="1418" w:right="1418" w:bottom="1418" w:left="1418" w:header="851" w:footer="851" w:gutter="0"/>
          <w:cols w:space="720" w:num="1"/>
          <w:docGrid w:linePitch="462" w:charSpace="0"/>
        </w:sectPr>
      </w:pPr>
    </w:p>
    <w:p>
      <w:pPr>
        <w:spacing w:line="360" w:lineRule="auto"/>
        <w:ind w:firstLine="480" w:firstLineChars="200"/>
        <w:rPr>
          <w:rFonts w:ascii="仿宋_GB2312" w:hAnsi="楷体"/>
          <w:sz w:val="24"/>
        </w:rPr>
      </w:pPr>
      <w:r>
        <w:rPr>
          <w:rFonts w:hint="eastAsia" w:ascii="仿宋_GB2312" w:hAnsi="楷体"/>
          <w:sz w:val="24"/>
          <w:u w:val="single"/>
          <w:lang w:val="zh-CN"/>
        </w:rPr>
        <w:t xml:space="preserve">    </w:t>
      </w:r>
      <w:r>
        <w:rPr>
          <w:rFonts w:hint="eastAsia" w:ascii="仿宋_GB2312" w:hAnsi="楷体"/>
          <w:sz w:val="24"/>
          <w:lang w:val="zh-CN"/>
        </w:rPr>
        <w:t>年</w:t>
      </w:r>
      <w:r>
        <w:rPr>
          <w:rFonts w:hint="eastAsia" w:ascii="仿宋_GB2312" w:hAnsi="楷体"/>
          <w:sz w:val="24"/>
          <w:u w:val="single"/>
          <w:lang w:val="zh-CN"/>
        </w:rPr>
        <w:t xml:space="preserve">    </w:t>
      </w:r>
      <w:r>
        <w:rPr>
          <w:rFonts w:hint="eastAsia" w:ascii="仿宋_GB2312" w:hAnsi="楷体"/>
          <w:sz w:val="24"/>
          <w:lang w:val="zh-CN"/>
        </w:rPr>
        <w:t>月</w:t>
      </w:r>
      <w:r>
        <w:rPr>
          <w:rFonts w:hint="eastAsia" w:ascii="仿宋_GB2312" w:hAnsi="楷体"/>
          <w:sz w:val="24"/>
          <w:u w:val="single"/>
          <w:lang w:val="zh-CN"/>
        </w:rPr>
        <w:t xml:space="preserve">    </w:t>
      </w:r>
      <w:r>
        <w:rPr>
          <w:rFonts w:hint="eastAsia" w:ascii="仿宋_GB2312" w:hAnsi="楷体"/>
          <w:sz w:val="24"/>
          <w:lang w:val="zh-CN"/>
        </w:rPr>
        <w:t>日</w:t>
      </w:r>
      <w:r>
        <w:rPr>
          <w:rFonts w:hint="eastAsia" w:ascii="仿宋_GB2312" w:hAnsi="楷体"/>
          <w:sz w:val="24"/>
        </w:rPr>
        <w:t>，</w:t>
      </w:r>
      <w:r>
        <w:rPr>
          <w:rFonts w:hint="eastAsia" w:ascii="仿宋_GB2312" w:hAnsi="楷体"/>
          <w:sz w:val="24"/>
          <w:u w:val="single"/>
        </w:rPr>
        <w:t>（采购人名称）</w:t>
      </w:r>
      <w:r>
        <w:rPr>
          <w:rFonts w:hint="eastAsia" w:ascii="仿宋_GB2312" w:hAnsi="楷体"/>
          <w:sz w:val="24"/>
        </w:rPr>
        <w:t>以</w:t>
      </w:r>
      <w:r>
        <w:rPr>
          <w:rFonts w:hint="eastAsia" w:ascii="仿宋_GB2312" w:hAnsi="楷体"/>
          <w:sz w:val="24"/>
          <w:u w:val="single"/>
        </w:rPr>
        <w:t>（政府采购方式）</w:t>
      </w:r>
      <w:r>
        <w:rPr>
          <w:rFonts w:hint="eastAsia" w:ascii="仿宋_GB2312" w:hAnsi="楷体"/>
          <w:sz w:val="24"/>
        </w:rPr>
        <w:t>对</w:t>
      </w:r>
      <w:r>
        <w:rPr>
          <w:rFonts w:hint="eastAsia" w:ascii="仿宋_GB2312" w:hAnsi="楷体"/>
          <w:sz w:val="24"/>
          <w:u w:val="single"/>
        </w:rPr>
        <w:t>（同前页项目名称）</w:t>
      </w:r>
      <w:r>
        <w:rPr>
          <w:rFonts w:hint="eastAsia" w:ascii="仿宋_GB2312" w:hAnsi="楷体"/>
          <w:sz w:val="24"/>
          <w:u w:val="single"/>
          <w:lang w:eastAsia="zh-CN"/>
        </w:rPr>
        <w:t>（</w:t>
      </w:r>
      <w:r>
        <w:rPr>
          <w:rFonts w:hint="eastAsia" w:ascii="仿宋_GB2312" w:hAnsi="楷体"/>
          <w:sz w:val="24"/>
          <w:u w:val="single"/>
          <w:lang w:val="en-US" w:eastAsia="zh-CN"/>
        </w:rPr>
        <w:t>采购编号：</w:t>
      </w:r>
      <w:r>
        <w:rPr>
          <w:rFonts w:hint="eastAsia" w:ascii="仿宋_GB2312" w:hAnsi="楷体"/>
          <w:sz w:val="24"/>
          <w:u w:val="single"/>
          <w:lang w:eastAsia="zh-CN"/>
        </w:rPr>
        <w:t>）</w:t>
      </w:r>
      <w:r>
        <w:rPr>
          <w:rFonts w:hint="eastAsia" w:ascii="仿宋_GB2312" w:hAnsi="楷体"/>
          <w:sz w:val="24"/>
        </w:rPr>
        <w:t>项目进行了采购。经</w:t>
      </w:r>
      <w:r>
        <w:rPr>
          <w:rFonts w:hint="eastAsia" w:ascii="仿宋_GB2312" w:hAnsi="楷体"/>
          <w:sz w:val="24"/>
          <w:u w:val="single"/>
        </w:rPr>
        <w:t>（相关评定主体名称）</w:t>
      </w:r>
      <w:r>
        <w:rPr>
          <w:rFonts w:hint="eastAsia" w:ascii="仿宋_GB2312" w:hAnsi="楷体"/>
          <w:sz w:val="24"/>
        </w:rPr>
        <w:t>评定，</w:t>
      </w:r>
      <w:r>
        <w:rPr>
          <w:rFonts w:hint="eastAsia" w:ascii="仿宋_GB2312" w:hAnsi="楷体"/>
          <w:sz w:val="24"/>
          <w:u w:val="single"/>
        </w:rPr>
        <w:t>（中标人名称）</w:t>
      </w:r>
      <w:r>
        <w:rPr>
          <w:rFonts w:hint="eastAsia" w:ascii="仿宋_GB2312" w:hAnsi="楷体"/>
          <w:sz w:val="24"/>
        </w:rPr>
        <w:t>为该项目中标人。现于中标通知书发出之日起三十日内，按照采购文件确定的事项签订本合同。</w:t>
      </w:r>
    </w:p>
    <w:p>
      <w:pPr>
        <w:spacing w:line="360" w:lineRule="auto"/>
        <w:ind w:firstLine="480" w:firstLineChars="200"/>
        <w:rPr>
          <w:rFonts w:ascii="仿宋_GB2312" w:hAnsi="楷体"/>
          <w:sz w:val="24"/>
        </w:rPr>
      </w:pPr>
      <w:r>
        <w:rPr>
          <w:rFonts w:hint="eastAsia" w:ascii="仿宋_GB2312" w:hAnsi="楷体"/>
          <w:sz w:val="24"/>
          <w:lang w:val="zh-CN"/>
        </w:rPr>
        <w:t>根据《中华人民共和国民法典》、《中华人民共和国政府采购法》等相关法律法规之规定，按照平等、自愿、公平和诚实信用的原则，经</w:t>
      </w:r>
      <w:r>
        <w:rPr>
          <w:rFonts w:hint="eastAsia" w:ascii="仿宋_GB2312" w:hAnsi="楷体"/>
          <w:sz w:val="24"/>
          <w:u w:val="single"/>
        </w:rPr>
        <w:t>（采购人名称）</w:t>
      </w:r>
      <w:r>
        <w:rPr>
          <w:rFonts w:hint="eastAsia" w:ascii="仿宋_GB2312" w:hAnsi="楷体"/>
          <w:sz w:val="24"/>
          <w:lang w:val="zh-CN"/>
        </w:rPr>
        <w:t>（以下简称：甲方）和</w:t>
      </w:r>
      <w:r>
        <w:rPr>
          <w:rFonts w:hint="eastAsia" w:ascii="仿宋_GB2312" w:hAnsi="楷体"/>
          <w:sz w:val="24"/>
          <w:u w:val="single"/>
        </w:rPr>
        <w:t>（中标人名称）</w:t>
      </w:r>
      <w:r>
        <w:rPr>
          <w:rFonts w:hint="eastAsia" w:ascii="仿宋_GB2312" w:hAnsi="楷体"/>
          <w:sz w:val="24"/>
          <w:lang w:val="zh-CN"/>
        </w:rPr>
        <w:t>（以下简称：乙方）协商一致，约定以下合同</w:t>
      </w:r>
      <w:r>
        <w:rPr>
          <w:rFonts w:hint="eastAsia" w:ascii="仿宋_GB2312" w:hAnsi="楷体"/>
          <w:sz w:val="24"/>
        </w:rPr>
        <w:t>条款，以兹共同遵守、全面履行。</w:t>
      </w:r>
    </w:p>
    <w:p>
      <w:pPr>
        <w:spacing w:line="360" w:lineRule="auto"/>
        <w:ind w:firstLine="482" w:firstLineChars="200"/>
        <w:rPr>
          <w:rFonts w:ascii="仿宋_GB2312"/>
          <w:b/>
          <w:sz w:val="24"/>
        </w:rPr>
      </w:pPr>
      <w:bookmarkStart w:id="1" w:name="_Toc28855"/>
      <w:bookmarkStart w:id="2" w:name="_Toc15367"/>
      <w:bookmarkStart w:id="3" w:name="_Toc20421"/>
      <w:bookmarkStart w:id="4" w:name="_Toc19273"/>
      <w:bookmarkStart w:id="5" w:name="_Toc22967"/>
      <w:r>
        <w:rPr>
          <w:rFonts w:hint="eastAsia" w:ascii="仿宋_GB2312"/>
          <w:b/>
          <w:sz w:val="24"/>
        </w:rPr>
        <w:t>1.1 合同组成部分</w:t>
      </w:r>
      <w:bookmarkEnd w:id="1"/>
      <w:bookmarkEnd w:id="2"/>
      <w:bookmarkEnd w:id="3"/>
      <w:bookmarkEnd w:id="4"/>
      <w:bookmarkEnd w:id="5"/>
    </w:p>
    <w:p>
      <w:pPr>
        <w:spacing w:line="360" w:lineRule="auto"/>
        <w:ind w:firstLine="480" w:firstLineChars="200"/>
        <w:rPr>
          <w:rFonts w:ascii="仿宋_GB2312" w:hAnsi="楷体"/>
          <w:sz w:val="24"/>
        </w:rPr>
      </w:pPr>
      <w:r>
        <w:rPr>
          <w:rFonts w:hint="eastAsia" w:ascii="仿宋_GB2312" w:hAnsi="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sz w:val="24"/>
        </w:rPr>
      </w:pPr>
      <w:r>
        <w:rPr>
          <w:rFonts w:hint="eastAsia" w:ascii="仿宋_GB2312" w:hAnsi="楷体"/>
          <w:sz w:val="24"/>
        </w:rPr>
        <w:t>1.1.1 本合同及其补充合同、变更协议；</w:t>
      </w:r>
    </w:p>
    <w:p>
      <w:pPr>
        <w:spacing w:line="360" w:lineRule="auto"/>
        <w:ind w:firstLine="480" w:firstLineChars="200"/>
        <w:rPr>
          <w:rFonts w:ascii="仿宋_GB2312" w:hAnsi="楷体"/>
          <w:sz w:val="24"/>
        </w:rPr>
      </w:pPr>
      <w:r>
        <w:rPr>
          <w:rFonts w:hint="eastAsia" w:ascii="仿宋_GB2312" w:hAnsi="楷体"/>
          <w:sz w:val="24"/>
        </w:rPr>
        <w:t>1.1.2 中标通知书；</w:t>
      </w:r>
    </w:p>
    <w:p>
      <w:pPr>
        <w:spacing w:line="360" w:lineRule="auto"/>
        <w:ind w:firstLine="480" w:firstLineChars="200"/>
        <w:rPr>
          <w:rFonts w:ascii="仿宋_GB2312" w:hAnsi="楷体"/>
          <w:sz w:val="24"/>
        </w:rPr>
      </w:pPr>
      <w:r>
        <w:rPr>
          <w:rFonts w:hint="eastAsia" w:ascii="仿宋_GB2312" w:hAnsi="楷体"/>
          <w:sz w:val="24"/>
        </w:rPr>
        <w:t>1.1.3 投标文件（含澄清或者说明文件）；</w:t>
      </w:r>
    </w:p>
    <w:p>
      <w:pPr>
        <w:spacing w:line="360" w:lineRule="auto"/>
        <w:ind w:firstLine="480" w:firstLineChars="200"/>
        <w:rPr>
          <w:rFonts w:ascii="仿宋_GB2312" w:hAnsi="楷体"/>
          <w:sz w:val="24"/>
        </w:rPr>
      </w:pPr>
      <w:r>
        <w:rPr>
          <w:rFonts w:hint="eastAsia" w:ascii="仿宋_GB2312" w:hAnsi="楷体"/>
          <w:sz w:val="24"/>
        </w:rPr>
        <w:t>1.1.4 招标文件（含澄清或者修改文件）；</w:t>
      </w:r>
    </w:p>
    <w:p>
      <w:pPr>
        <w:spacing w:line="360" w:lineRule="auto"/>
        <w:ind w:firstLine="480" w:firstLineChars="200"/>
        <w:rPr>
          <w:rFonts w:ascii="仿宋_GB2312" w:hAnsi="楷体"/>
          <w:sz w:val="24"/>
        </w:rPr>
      </w:pPr>
      <w:r>
        <w:rPr>
          <w:rFonts w:hint="eastAsia" w:ascii="仿宋_GB2312" w:hAnsi="楷体"/>
          <w:sz w:val="24"/>
        </w:rPr>
        <w:t>1.1.5 其他相关采购文件。</w:t>
      </w:r>
    </w:p>
    <w:p>
      <w:pPr>
        <w:spacing w:line="360" w:lineRule="auto"/>
        <w:ind w:firstLine="482" w:firstLineChars="200"/>
        <w:rPr>
          <w:rFonts w:ascii="仿宋_GB2312"/>
          <w:b/>
          <w:sz w:val="24"/>
        </w:rPr>
      </w:pPr>
      <w:bookmarkStart w:id="6" w:name="_Toc6773"/>
      <w:bookmarkStart w:id="7" w:name="_Toc18585"/>
      <w:bookmarkStart w:id="8" w:name="_Toc2918"/>
      <w:bookmarkStart w:id="9" w:name="_Toc6311"/>
      <w:bookmarkStart w:id="10" w:name="_Toc22185"/>
      <w:r>
        <w:rPr>
          <w:rFonts w:hint="eastAsia" w:ascii="仿宋_GB2312"/>
          <w:b/>
          <w:sz w:val="24"/>
        </w:rPr>
        <w:t>1.2 标的</w:t>
      </w:r>
      <w:bookmarkEnd w:id="6"/>
      <w:bookmarkEnd w:id="7"/>
      <w:bookmarkEnd w:id="8"/>
      <w:bookmarkEnd w:id="9"/>
      <w:bookmarkEnd w:id="10"/>
    </w:p>
    <w:p>
      <w:pPr>
        <w:spacing w:line="360" w:lineRule="auto"/>
        <w:ind w:firstLine="480" w:firstLineChars="200"/>
        <w:rPr>
          <w:rFonts w:ascii="仿宋_GB2312" w:hAnsi="楷体"/>
          <w:sz w:val="24"/>
          <w:u w:val="single"/>
        </w:rPr>
      </w:pPr>
      <w:r>
        <w:rPr>
          <w:rFonts w:hint="eastAsia" w:ascii="仿宋_GB2312" w:hAnsi="楷体"/>
          <w:sz w:val="24"/>
        </w:rPr>
        <w:t>1.2.1 标的名称：</w:t>
      </w:r>
      <w:r>
        <w:rPr>
          <w:rFonts w:hint="eastAsia" w:ascii="仿宋_GB2312" w:hAnsi="楷体"/>
          <w:sz w:val="24"/>
          <w:u w:val="single"/>
        </w:rPr>
        <w:t xml:space="preserve">                                                </w:t>
      </w:r>
      <w:r>
        <w:rPr>
          <w:rFonts w:hint="eastAsia" w:ascii="仿宋_GB2312" w:hAnsi="楷体"/>
          <w:sz w:val="24"/>
        </w:rPr>
        <w:t>；</w:t>
      </w:r>
    </w:p>
    <w:p>
      <w:pPr>
        <w:spacing w:line="360" w:lineRule="auto"/>
        <w:ind w:firstLine="480" w:firstLineChars="200"/>
        <w:rPr>
          <w:rFonts w:ascii="仿宋_GB2312" w:hAnsi="楷体"/>
          <w:sz w:val="24"/>
          <w:u w:val="single"/>
        </w:rPr>
      </w:pPr>
      <w:r>
        <w:rPr>
          <w:rFonts w:hint="eastAsia" w:ascii="仿宋_GB2312" w:hAnsi="楷体"/>
          <w:sz w:val="24"/>
        </w:rPr>
        <w:t>1.2.2 标的数量：</w:t>
      </w:r>
      <w:r>
        <w:rPr>
          <w:rFonts w:hint="eastAsia" w:ascii="仿宋_GB2312" w:hAnsi="楷体"/>
          <w:sz w:val="24"/>
          <w:u w:val="single"/>
        </w:rPr>
        <w:t xml:space="preserve">                                                </w:t>
      </w:r>
      <w:r>
        <w:rPr>
          <w:rFonts w:hint="eastAsia" w:ascii="仿宋_GB2312" w:hAnsi="楷体"/>
          <w:sz w:val="24"/>
        </w:rPr>
        <w:t>；</w:t>
      </w:r>
    </w:p>
    <w:p>
      <w:pPr>
        <w:spacing w:line="360" w:lineRule="auto"/>
        <w:ind w:firstLine="480" w:firstLineChars="200"/>
        <w:rPr>
          <w:rFonts w:ascii="仿宋_GB2312" w:hAnsi="楷体"/>
          <w:sz w:val="24"/>
        </w:rPr>
      </w:pPr>
      <w:r>
        <w:rPr>
          <w:rFonts w:hint="eastAsia" w:ascii="仿宋_GB2312" w:hAnsi="楷体"/>
          <w:sz w:val="24"/>
        </w:rPr>
        <w:t>1.2.3 标的质量：</w:t>
      </w:r>
      <w:r>
        <w:rPr>
          <w:rFonts w:hint="eastAsia" w:ascii="仿宋_GB2312" w:hAnsi="楷体"/>
          <w:sz w:val="24"/>
          <w:u w:val="single"/>
        </w:rPr>
        <w:t xml:space="preserve">                                                </w:t>
      </w:r>
      <w:r>
        <w:rPr>
          <w:rFonts w:hint="eastAsia" w:ascii="仿宋_GB2312" w:hAnsi="楷体"/>
          <w:sz w:val="24"/>
        </w:rPr>
        <w:t>。</w:t>
      </w:r>
    </w:p>
    <w:p>
      <w:pPr>
        <w:spacing w:line="360" w:lineRule="auto"/>
        <w:ind w:firstLine="482" w:firstLineChars="200"/>
        <w:rPr>
          <w:rFonts w:ascii="仿宋_GB2312"/>
          <w:b/>
          <w:sz w:val="24"/>
        </w:rPr>
      </w:pPr>
      <w:bookmarkStart w:id="11" w:name="_Toc21124"/>
      <w:bookmarkStart w:id="12" w:name="_Toc4929"/>
      <w:bookmarkStart w:id="13" w:name="_Toc1386"/>
      <w:bookmarkStart w:id="14" w:name="_Toc13918"/>
      <w:bookmarkStart w:id="15" w:name="_Toc5635"/>
      <w:r>
        <w:rPr>
          <w:rFonts w:hint="eastAsia" w:ascii="仿宋_GB2312"/>
          <w:b/>
          <w:sz w:val="24"/>
        </w:rPr>
        <w:t>1.3 价款</w:t>
      </w:r>
      <w:bookmarkEnd w:id="11"/>
      <w:bookmarkEnd w:id="12"/>
      <w:bookmarkEnd w:id="13"/>
      <w:bookmarkEnd w:id="14"/>
      <w:bookmarkEnd w:id="15"/>
    </w:p>
    <w:p>
      <w:pPr>
        <w:spacing w:line="360" w:lineRule="auto"/>
        <w:ind w:firstLine="480" w:firstLineChars="200"/>
        <w:rPr>
          <w:rFonts w:ascii="仿宋_GB2312" w:hAnsi="楷体"/>
          <w:sz w:val="24"/>
        </w:rPr>
      </w:pPr>
      <w:r>
        <w:rPr>
          <w:rFonts w:hint="eastAsia" w:ascii="仿宋_GB2312" w:hAnsi="楷体"/>
          <w:sz w:val="24"/>
        </w:rPr>
        <w:t>本合同总价为：￥</w:t>
      </w:r>
      <w:r>
        <w:rPr>
          <w:rFonts w:hint="eastAsia" w:ascii="仿宋_GB2312" w:hAnsi="楷体"/>
          <w:sz w:val="24"/>
          <w:u w:val="single"/>
        </w:rPr>
        <w:t xml:space="preserve">           </w:t>
      </w:r>
      <w:r>
        <w:rPr>
          <w:rFonts w:hint="eastAsia" w:ascii="仿宋_GB2312" w:hAnsi="楷体"/>
          <w:sz w:val="24"/>
        </w:rPr>
        <w:t>元（大写：</w:t>
      </w:r>
      <w:r>
        <w:rPr>
          <w:rFonts w:hint="eastAsia" w:ascii="仿宋_GB2312" w:hAnsi="楷体"/>
          <w:sz w:val="24"/>
          <w:u w:val="single"/>
        </w:rPr>
        <w:t xml:space="preserve">                 </w:t>
      </w:r>
      <w:r>
        <w:rPr>
          <w:rFonts w:hint="eastAsia" w:ascii="仿宋_GB2312" w:hAnsi="楷体"/>
          <w:sz w:val="24"/>
        </w:rPr>
        <w:t>元人民币）。</w:t>
      </w:r>
    </w:p>
    <w:p>
      <w:pPr>
        <w:spacing w:line="360" w:lineRule="auto"/>
        <w:ind w:firstLine="480" w:firstLineChars="200"/>
        <w:rPr>
          <w:rFonts w:ascii="仿宋_GB2312" w:hAnsi="楷体"/>
          <w:sz w:val="24"/>
          <w:u w:val="single"/>
        </w:rPr>
      </w:pPr>
      <w:r>
        <w:rPr>
          <w:rFonts w:hint="eastAsia" w:ascii="仿宋_GB2312" w:hAnsi="楷体"/>
          <w:sz w:val="24"/>
        </w:rPr>
        <w:t>分项价格：</w:t>
      </w:r>
    </w:p>
    <w:tbl>
      <w:tblPr>
        <w:tblStyle w:val="6"/>
        <w:tblW w:w="8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2" w:type="dxa"/>
            <w:vAlign w:val="center"/>
          </w:tcPr>
          <w:p>
            <w:pPr>
              <w:pStyle w:val="11"/>
              <w:jc w:val="center"/>
              <w:rPr>
                <w:rFonts w:ascii="仿宋_GB2312" w:hAnsi="楷体" w:eastAsia="仿宋_GB2312"/>
                <w:b/>
                <w:bCs/>
                <w:sz w:val="24"/>
                <w:szCs w:val="24"/>
              </w:rPr>
            </w:pPr>
            <w:r>
              <w:rPr>
                <w:rFonts w:hint="eastAsia" w:ascii="仿宋_GB2312" w:hAnsi="楷体" w:eastAsia="仿宋_GB2312"/>
                <w:b/>
                <w:bCs/>
                <w:sz w:val="24"/>
                <w:szCs w:val="24"/>
              </w:rPr>
              <w:t>序号</w:t>
            </w:r>
          </w:p>
        </w:tc>
        <w:tc>
          <w:tcPr>
            <w:tcW w:w="4678" w:type="dxa"/>
            <w:vAlign w:val="center"/>
          </w:tcPr>
          <w:p>
            <w:pPr>
              <w:pStyle w:val="11"/>
              <w:ind w:firstLine="200"/>
              <w:jc w:val="center"/>
              <w:rPr>
                <w:rFonts w:ascii="仿宋_GB2312" w:hAnsi="楷体" w:eastAsia="仿宋_GB2312"/>
                <w:b/>
                <w:bCs/>
                <w:sz w:val="24"/>
                <w:szCs w:val="24"/>
              </w:rPr>
            </w:pPr>
            <w:r>
              <w:rPr>
                <w:rFonts w:hint="eastAsia" w:ascii="仿宋_GB2312" w:hAnsi="楷体" w:eastAsia="仿宋_GB2312"/>
                <w:b/>
                <w:bCs/>
                <w:sz w:val="24"/>
                <w:szCs w:val="24"/>
              </w:rPr>
              <w:t>分项名称</w:t>
            </w:r>
          </w:p>
        </w:tc>
        <w:tc>
          <w:tcPr>
            <w:tcW w:w="3478" w:type="dxa"/>
            <w:vAlign w:val="center"/>
          </w:tcPr>
          <w:p>
            <w:pPr>
              <w:pStyle w:val="11"/>
              <w:jc w:val="center"/>
              <w:rPr>
                <w:rFonts w:ascii="仿宋_GB2312" w:hAnsi="楷体" w:eastAsia="仿宋_GB2312"/>
                <w:b/>
                <w:bCs/>
                <w:sz w:val="24"/>
                <w:szCs w:val="24"/>
              </w:rPr>
            </w:pPr>
            <w:r>
              <w:rPr>
                <w:rFonts w:hint="eastAsia" w:ascii="仿宋_GB2312" w:hAnsi="楷体" w:eastAsia="仿宋_GB2312"/>
                <w:b/>
                <w:bCs/>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2" w:type="dxa"/>
            <w:vAlign w:val="center"/>
          </w:tcPr>
          <w:p>
            <w:pPr>
              <w:pStyle w:val="11"/>
              <w:ind w:firstLine="200"/>
              <w:jc w:val="center"/>
              <w:rPr>
                <w:rFonts w:ascii="仿宋_GB2312" w:hAnsi="楷体" w:eastAsia="仿宋_GB2312"/>
                <w:sz w:val="24"/>
                <w:szCs w:val="24"/>
              </w:rPr>
            </w:pPr>
          </w:p>
        </w:tc>
        <w:tc>
          <w:tcPr>
            <w:tcW w:w="4678" w:type="dxa"/>
            <w:vAlign w:val="center"/>
          </w:tcPr>
          <w:p>
            <w:pPr>
              <w:pStyle w:val="11"/>
              <w:ind w:firstLine="200"/>
              <w:jc w:val="center"/>
              <w:rPr>
                <w:rFonts w:ascii="仿宋_GB2312" w:hAnsi="楷体" w:eastAsia="仿宋_GB2312"/>
                <w:sz w:val="24"/>
                <w:szCs w:val="24"/>
              </w:rPr>
            </w:pPr>
          </w:p>
        </w:tc>
        <w:tc>
          <w:tcPr>
            <w:tcW w:w="3478" w:type="dxa"/>
            <w:vAlign w:val="center"/>
          </w:tcPr>
          <w:p>
            <w:pPr>
              <w:pStyle w:val="11"/>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2" w:type="dxa"/>
            <w:vAlign w:val="center"/>
          </w:tcPr>
          <w:p>
            <w:pPr>
              <w:pStyle w:val="11"/>
              <w:ind w:firstLine="200"/>
              <w:jc w:val="center"/>
              <w:rPr>
                <w:rFonts w:ascii="仿宋_GB2312" w:hAnsi="楷体" w:eastAsia="仿宋_GB2312"/>
                <w:sz w:val="24"/>
                <w:szCs w:val="24"/>
              </w:rPr>
            </w:pPr>
          </w:p>
        </w:tc>
        <w:tc>
          <w:tcPr>
            <w:tcW w:w="4678" w:type="dxa"/>
            <w:vAlign w:val="center"/>
          </w:tcPr>
          <w:p>
            <w:pPr>
              <w:pStyle w:val="11"/>
              <w:ind w:firstLine="200"/>
              <w:jc w:val="center"/>
              <w:rPr>
                <w:rFonts w:ascii="仿宋_GB2312" w:hAnsi="楷体" w:eastAsia="仿宋_GB2312"/>
                <w:sz w:val="24"/>
                <w:szCs w:val="24"/>
              </w:rPr>
            </w:pPr>
          </w:p>
        </w:tc>
        <w:tc>
          <w:tcPr>
            <w:tcW w:w="3478" w:type="dxa"/>
            <w:vAlign w:val="center"/>
          </w:tcPr>
          <w:p>
            <w:pPr>
              <w:pStyle w:val="11"/>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2" w:type="dxa"/>
            <w:vAlign w:val="center"/>
          </w:tcPr>
          <w:p>
            <w:pPr>
              <w:pStyle w:val="11"/>
              <w:ind w:firstLine="200"/>
              <w:jc w:val="center"/>
              <w:rPr>
                <w:rFonts w:ascii="仿宋_GB2312" w:hAnsi="楷体" w:eastAsia="仿宋_GB2312"/>
                <w:sz w:val="24"/>
                <w:szCs w:val="24"/>
              </w:rPr>
            </w:pPr>
          </w:p>
        </w:tc>
        <w:tc>
          <w:tcPr>
            <w:tcW w:w="4678" w:type="dxa"/>
            <w:vAlign w:val="center"/>
          </w:tcPr>
          <w:p>
            <w:pPr>
              <w:pStyle w:val="11"/>
              <w:ind w:firstLine="200"/>
              <w:jc w:val="center"/>
              <w:rPr>
                <w:rFonts w:ascii="仿宋_GB2312" w:hAnsi="楷体" w:eastAsia="仿宋_GB2312"/>
                <w:sz w:val="24"/>
                <w:szCs w:val="24"/>
              </w:rPr>
            </w:pPr>
          </w:p>
        </w:tc>
        <w:tc>
          <w:tcPr>
            <w:tcW w:w="3478" w:type="dxa"/>
            <w:vAlign w:val="center"/>
          </w:tcPr>
          <w:p>
            <w:pPr>
              <w:pStyle w:val="11"/>
              <w:ind w:firstLine="20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32" w:type="dxa"/>
            <w:vAlign w:val="center"/>
          </w:tcPr>
          <w:p>
            <w:pPr>
              <w:pStyle w:val="11"/>
              <w:ind w:firstLine="200"/>
              <w:jc w:val="center"/>
              <w:rPr>
                <w:rFonts w:ascii="仿宋_GB2312" w:hAnsi="楷体" w:eastAsia="仿宋_GB2312"/>
                <w:sz w:val="24"/>
                <w:szCs w:val="24"/>
              </w:rPr>
            </w:pPr>
          </w:p>
        </w:tc>
        <w:tc>
          <w:tcPr>
            <w:tcW w:w="4678" w:type="dxa"/>
            <w:vAlign w:val="center"/>
          </w:tcPr>
          <w:p>
            <w:pPr>
              <w:pStyle w:val="11"/>
              <w:ind w:firstLine="200"/>
              <w:jc w:val="center"/>
              <w:rPr>
                <w:rFonts w:ascii="仿宋_GB2312" w:hAnsi="楷体" w:eastAsia="仿宋_GB2312"/>
                <w:sz w:val="24"/>
                <w:szCs w:val="24"/>
              </w:rPr>
            </w:pPr>
          </w:p>
        </w:tc>
        <w:tc>
          <w:tcPr>
            <w:tcW w:w="3478" w:type="dxa"/>
            <w:vAlign w:val="center"/>
          </w:tcPr>
          <w:p>
            <w:pPr>
              <w:pStyle w:val="11"/>
              <w:ind w:firstLine="200"/>
              <w:jc w:val="center"/>
              <w:rPr>
                <w:rFonts w:ascii="仿宋_GB2312" w:hAnsi="楷体" w:eastAsia="仿宋_GB2312"/>
                <w:sz w:val="24"/>
                <w:szCs w:val="24"/>
              </w:rPr>
            </w:pPr>
          </w:p>
        </w:tc>
      </w:tr>
    </w:tbl>
    <w:p>
      <w:pPr>
        <w:spacing w:line="360" w:lineRule="auto"/>
        <w:ind w:firstLine="482" w:firstLineChars="200"/>
        <w:rPr>
          <w:rFonts w:ascii="仿宋_GB2312"/>
          <w:b/>
          <w:sz w:val="24"/>
        </w:rPr>
      </w:pPr>
      <w:bookmarkStart w:id="16" w:name="_Toc14993"/>
      <w:bookmarkStart w:id="17" w:name="_Toc26916"/>
      <w:bookmarkStart w:id="18" w:name="_Toc30158"/>
      <w:bookmarkStart w:id="19" w:name="_Toc3654"/>
      <w:bookmarkStart w:id="20" w:name="_Toc30506"/>
      <w:r>
        <w:rPr>
          <w:rFonts w:hint="eastAsia" w:ascii="仿宋_GB2312"/>
          <w:b/>
          <w:sz w:val="24"/>
        </w:rPr>
        <w:t>1.4 付款方式和发票开具方式</w:t>
      </w:r>
      <w:bookmarkEnd w:id="16"/>
      <w:bookmarkEnd w:id="17"/>
      <w:bookmarkEnd w:id="18"/>
      <w:bookmarkEnd w:id="19"/>
      <w:bookmarkEnd w:id="20"/>
    </w:p>
    <w:p>
      <w:pPr>
        <w:spacing w:line="360" w:lineRule="auto"/>
        <w:ind w:firstLine="480" w:firstLineChars="200"/>
        <w:rPr>
          <w:rFonts w:ascii="仿宋_GB2312" w:hAnsi="楷体"/>
          <w:sz w:val="24"/>
        </w:rPr>
      </w:pPr>
      <w:r>
        <w:rPr>
          <w:rFonts w:hint="eastAsia" w:ascii="仿宋_GB2312" w:hAnsi="楷体"/>
          <w:sz w:val="24"/>
        </w:rPr>
        <w:t>1.4.1付款方式：</w:t>
      </w:r>
      <w:r>
        <w:rPr>
          <w:rFonts w:hint="eastAsia" w:ascii="仿宋_GB2312" w:hAnsi="楷体"/>
          <w:sz w:val="24"/>
          <w:u w:val="single"/>
        </w:rPr>
        <w:t xml:space="preserve">                                                </w:t>
      </w:r>
      <w:r>
        <w:rPr>
          <w:rFonts w:hint="eastAsia" w:ascii="仿宋_GB2312" w:hAnsi="楷体"/>
          <w:sz w:val="24"/>
        </w:rPr>
        <w:t>；</w:t>
      </w:r>
    </w:p>
    <w:p>
      <w:pPr>
        <w:spacing w:line="360" w:lineRule="auto"/>
        <w:ind w:firstLine="480" w:firstLineChars="200"/>
        <w:rPr>
          <w:rFonts w:ascii="仿宋_GB2312" w:hAnsi="楷体"/>
          <w:sz w:val="24"/>
        </w:rPr>
      </w:pPr>
      <w:r>
        <w:rPr>
          <w:rFonts w:hint="eastAsia" w:ascii="仿宋_GB2312" w:hAnsi="楷体"/>
          <w:sz w:val="24"/>
        </w:rPr>
        <w:t>1.4.2 发票开具方式：</w:t>
      </w:r>
      <w:r>
        <w:rPr>
          <w:rFonts w:hint="eastAsia" w:ascii="仿宋_GB2312" w:hAnsi="楷体"/>
          <w:sz w:val="24"/>
          <w:u w:val="single"/>
        </w:rPr>
        <w:t xml:space="preserve">                                            </w:t>
      </w:r>
      <w:r>
        <w:rPr>
          <w:rFonts w:hint="eastAsia" w:ascii="仿宋_GB2312" w:hAnsi="楷体"/>
          <w:sz w:val="24"/>
        </w:rPr>
        <w:t>。</w:t>
      </w:r>
    </w:p>
    <w:p>
      <w:pPr>
        <w:spacing w:line="360" w:lineRule="auto"/>
        <w:ind w:firstLine="482" w:firstLineChars="200"/>
        <w:rPr>
          <w:rFonts w:ascii="仿宋_GB2312"/>
          <w:b/>
          <w:sz w:val="24"/>
        </w:rPr>
      </w:pPr>
      <w:bookmarkStart w:id="21" w:name="_Toc4760"/>
      <w:bookmarkStart w:id="22" w:name="_Toc3625"/>
      <w:bookmarkStart w:id="23" w:name="_Toc31421"/>
      <w:bookmarkStart w:id="24" w:name="_Toc11108"/>
      <w:bookmarkStart w:id="25" w:name="_Toc8772"/>
      <w:r>
        <w:rPr>
          <w:rFonts w:hint="eastAsia" w:ascii="仿宋_GB2312"/>
          <w:b/>
          <w:sz w:val="24"/>
        </w:rPr>
        <w:t>1.5 履行期限、地点和方式</w:t>
      </w:r>
      <w:bookmarkEnd w:id="21"/>
      <w:bookmarkEnd w:id="22"/>
      <w:bookmarkEnd w:id="23"/>
      <w:bookmarkEnd w:id="24"/>
      <w:bookmarkEnd w:id="25"/>
    </w:p>
    <w:p>
      <w:pPr>
        <w:spacing w:line="360" w:lineRule="auto"/>
        <w:ind w:firstLine="480" w:firstLineChars="200"/>
        <w:rPr>
          <w:rFonts w:ascii="仿宋_GB2312" w:hAnsi="楷体"/>
          <w:sz w:val="24"/>
          <w:u w:val="single"/>
        </w:rPr>
      </w:pPr>
      <w:r>
        <w:rPr>
          <w:rFonts w:hint="eastAsia" w:ascii="仿宋_GB2312" w:hAnsi="楷体"/>
          <w:sz w:val="24"/>
        </w:rPr>
        <w:t>1.5.1 履行期限：</w:t>
      </w:r>
      <w:r>
        <w:rPr>
          <w:rFonts w:hint="eastAsia" w:ascii="仿宋_GB2312" w:hAnsi="楷体"/>
          <w:sz w:val="24"/>
          <w:u w:val="single"/>
        </w:rPr>
        <w:t xml:space="preserve">                                                </w:t>
      </w:r>
      <w:r>
        <w:rPr>
          <w:rFonts w:hint="eastAsia" w:ascii="仿宋_GB2312" w:hAnsi="楷体"/>
          <w:sz w:val="24"/>
        </w:rPr>
        <w:t>；</w:t>
      </w:r>
    </w:p>
    <w:p>
      <w:pPr>
        <w:spacing w:line="360" w:lineRule="auto"/>
        <w:ind w:firstLine="480" w:firstLineChars="200"/>
        <w:rPr>
          <w:rFonts w:ascii="仿宋_GB2312" w:hAnsi="楷体"/>
          <w:sz w:val="24"/>
        </w:rPr>
      </w:pPr>
      <w:r>
        <w:rPr>
          <w:rFonts w:hint="eastAsia" w:ascii="仿宋_GB2312" w:hAnsi="楷体"/>
          <w:sz w:val="24"/>
        </w:rPr>
        <w:t>1.5.2 履行地点：</w:t>
      </w:r>
      <w:r>
        <w:rPr>
          <w:rFonts w:hint="eastAsia" w:ascii="仿宋_GB2312" w:hAnsi="楷体"/>
          <w:sz w:val="24"/>
          <w:u w:val="single"/>
        </w:rPr>
        <w:t xml:space="preserve">                                                </w:t>
      </w:r>
      <w:r>
        <w:rPr>
          <w:rFonts w:hint="eastAsia" w:ascii="仿宋_GB2312" w:hAnsi="楷体"/>
          <w:sz w:val="24"/>
        </w:rPr>
        <w:t>；</w:t>
      </w:r>
    </w:p>
    <w:p>
      <w:pPr>
        <w:spacing w:line="360" w:lineRule="auto"/>
        <w:ind w:firstLine="480" w:firstLineChars="200"/>
        <w:rPr>
          <w:rFonts w:ascii="仿宋_GB2312" w:hAnsi="楷体"/>
          <w:sz w:val="24"/>
        </w:rPr>
      </w:pPr>
      <w:r>
        <w:rPr>
          <w:rFonts w:hint="eastAsia" w:ascii="仿宋_GB2312" w:hAnsi="楷体"/>
          <w:sz w:val="24"/>
        </w:rPr>
        <w:t>1.5.3 履行方式：</w:t>
      </w:r>
      <w:r>
        <w:rPr>
          <w:rFonts w:hint="eastAsia" w:ascii="仿宋_GB2312" w:hAnsi="楷体"/>
          <w:sz w:val="24"/>
          <w:u w:val="single"/>
        </w:rPr>
        <w:t xml:space="preserve">                                                </w:t>
      </w:r>
      <w:r>
        <w:rPr>
          <w:rFonts w:hint="eastAsia" w:ascii="仿宋_GB2312" w:hAnsi="楷体"/>
          <w:sz w:val="24"/>
        </w:rPr>
        <w:t>。</w:t>
      </w:r>
    </w:p>
    <w:p>
      <w:pPr>
        <w:spacing w:line="360" w:lineRule="auto"/>
        <w:ind w:firstLine="482" w:firstLineChars="200"/>
        <w:rPr>
          <w:rFonts w:ascii="仿宋_GB2312"/>
          <w:b/>
          <w:sz w:val="24"/>
        </w:rPr>
      </w:pPr>
      <w:bookmarkStart w:id="26" w:name="_Toc2375"/>
      <w:bookmarkStart w:id="27" w:name="_Toc8586"/>
      <w:bookmarkStart w:id="28" w:name="_Toc5698"/>
      <w:bookmarkStart w:id="29" w:name="_Toc3079"/>
      <w:bookmarkStart w:id="30" w:name="_Toc24662"/>
      <w:r>
        <w:rPr>
          <w:rFonts w:hint="eastAsia" w:ascii="仿宋_GB2312"/>
          <w:b/>
          <w:sz w:val="24"/>
        </w:rPr>
        <w:t>1.6 违约责任</w:t>
      </w:r>
      <w:bookmarkEnd w:id="26"/>
      <w:bookmarkEnd w:id="27"/>
      <w:bookmarkEnd w:id="28"/>
      <w:bookmarkEnd w:id="29"/>
      <w:bookmarkEnd w:id="30"/>
    </w:p>
    <w:p>
      <w:pPr>
        <w:spacing w:line="360" w:lineRule="auto"/>
        <w:ind w:firstLine="480" w:firstLineChars="200"/>
        <w:rPr>
          <w:rFonts w:ascii="仿宋_GB2312" w:hAnsi="楷体"/>
          <w:sz w:val="24"/>
        </w:rPr>
      </w:pPr>
      <w:r>
        <w:rPr>
          <w:rFonts w:hint="eastAsia" w:ascii="仿宋_GB2312" w:hAnsi="楷体"/>
          <w:sz w:val="24"/>
        </w:rPr>
        <w:t>1.6.1 除不可抗力外，如果乙方没有按照本合同约定的期限、地点和方式履行，那么甲方可要求乙方支付违约金，违约金按每迟延履行一日的应提供而未提供服务价格的</w:t>
      </w:r>
      <w:r>
        <w:rPr>
          <w:rFonts w:hint="eastAsia" w:ascii="仿宋_GB2312" w:hAnsi="楷体"/>
          <w:sz w:val="24"/>
          <w:u w:val="single"/>
        </w:rPr>
        <w:t xml:space="preserve">    </w:t>
      </w:r>
      <w:r>
        <w:rPr>
          <w:rFonts w:hint="eastAsia" w:ascii="仿宋_GB2312" w:hAnsi="楷体"/>
          <w:sz w:val="24"/>
        </w:rPr>
        <w:t>%计算，最高限额为本合同总价的</w:t>
      </w:r>
      <w:r>
        <w:rPr>
          <w:rFonts w:hint="eastAsia" w:ascii="仿宋_GB2312" w:hAnsi="楷体"/>
          <w:sz w:val="24"/>
          <w:u w:val="single"/>
        </w:rPr>
        <w:t xml:space="preserve">     </w:t>
      </w:r>
      <w:r>
        <w:rPr>
          <w:rFonts w:hint="eastAsia" w:ascii="仿宋_GB2312" w:hAnsi="楷体"/>
          <w:sz w:val="24"/>
        </w:rPr>
        <w:t>%；迟延履行的违约金计算数额达到前述最高限额之日起，甲方有权在要求乙方支付违约金的同时，书面通知乙方解除本合同；</w:t>
      </w:r>
    </w:p>
    <w:p>
      <w:pPr>
        <w:spacing w:line="360" w:lineRule="auto"/>
        <w:ind w:firstLine="480" w:firstLineChars="200"/>
        <w:rPr>
          <w:rFonts w:ascii="仿宋_GB2312" w:hAnsi="楷体"/>
          <w:sz w:val="24"/>
        </w:rPr>
      </w:pPr>
      <w:r>
        <w:rPr>
          <w:rFonts w:hint="eastAsia" w:ascii="仿宋_GB2312" w:hAnsi="楷体"/>
          <w:sz w:val="24"/>
        </w:rPr>
        <w:t>1.6.2 除不可抗力外，如果甲方没有按照本合同约定的付款方式付款，那么乙方可要求甲方支付违约金，违约金按每迟延付款一日的应付而未付款的</w:t>
      </w:r>
      <w:r>
        <w:rPr>
          <w:rFonts w:hint="eastAsia" w:ascii="仿宋_GB2312" w:hAnsi="楷体"/>
          <w:sz w:val="24"/>
          <w:u w:val="single"/>
        </w:rPr>
        <w:t xml:space="preserve">    </w:t>
      </w:r>
      <w:r>
        <w:rPr>
          <w:rFonts w:hint="eastAsia" w:ascii="仿宋_GB2312" w:hAnsi="楷体"/>
          <w:sz w:val="24"/>
        </w:rPr>
        <w:t>%计算，最高限额为本合同总价的</w:t>
      </w:r>
      <w:r>
        <w:rPr>
          <w:rFonts w:hint="eastAsia" w:ascii="仿宋_GB2312" w:hAnsi="楷体"/>
          <w:sz w:val="24"/>
          <w:u w:val="single"/>
        </w:rPr>
        <w:t xml:space="preserve">     </w:t>
      </w:r>
      <w:r>
        <w:rPr>
          <w:rFonts w:hint="eastAsia" w:ascii="仿宋_GB2312" w:hAnsi="楷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sz w:val="24"/>
        </w:rPr>
      </w:pPr>
      <w:r>
        <w:rPr>
          <w:rFonts w:hint="eastAsia" w:ascii="仿宋_GB2312" w:hAnsi="楷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_GB2312" w:hAnsi="楷体"/>
          <w:sz w:val="24"/>
        </w:rPr>
      </w:pPr>
      <w:r>
        <w:rPr>
          <w:rFonts w:hint="eastAsia" w:ascii="仿宋_GB2312" w:hAnsi="楷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sz w:val="24"/>
        </w:rPr>
      </w:pPr>
      <w:r>
        <w:rPr>
          <w:rFonts w:hint="eastAsia" w:ascii="仿宋_GB2312" w:hAnsi="楷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sz w:val="24"/>
        </w:rPr>
      </w:pPr>
      <w:r>
        <w:rPr>
          <w:rFonts w:hint="eastAsia" w:ascii="仿宋_GB2312" w:hAnsi="楷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_GB2312"/>
          <w:b/>
          <w:sz w:val="24"/>
        </w:rPr>
      </w:pPr>
      <w:bookmarkStart w:id="31" w:name="_Toc30329"/>
      <w:bookmarkStart w:id="32" w:name="_Toc26807"/>
      <w:bookmarkStart w:id="33" w:name="_Toc18683"/>
      <w:bookmarkStart w:id="34" w:name="_Toc32454"/>
      <w:bookmarkStart w:id="35" w:name="_Toc9497"/>
      <w:r>
        <w:rPr>
          <w:rFonts w:hint="eastAsia" w:ascii="仿宋_GB2312"/>
          <w:b/>
          <w:sz w:val="24"/>
        </w:rPr>
        <w:t>1.7 合同争议的解决</w:t>
      </w:r>
      <w:bookmarkEnd w:id="31"/>
      <w:bookmarkEnd w:id="32"/>
      <w:bookmarkEnd w:id="33"/>
      <w:bookmarkEnd w:id="34"/>
      <w:bookmarkEnd w:id="35"/>
    </w:p>
    <w:p>
      <w:pPr>
        <w:spacing w:line="360" w:lineRule="auto"/>
        <w:ind w:firstLine="480" w:firstLineChars="200"/>
        <w:rPr>
          <w:rFonts w:ascii="仿宋_GB2312" w:hAnsi="楷体"/>
          <w:sz w:val="24"/>
        </w:rPr>
      </w:pPr>
      <w:r>
        <w:rPr>
          <w:rFonts w:hint="eastAsia" w:ascii="仿宋_GB2312" w:hAnsi="楷体"/>
          <w:sz w:val="24"/>
        </w:rPr>
        <w:t>本合同履行过程中发生的任何争议，双方当事人均可通过和解或者调解解决；不愿和解、调解或者和解、调解不成的，可以选择下列第</w:t>
      </w:r>
      <w:r>
        <w:rPr>
          <w:rFonts w:hint="eastAsia" w:ascii="仿宋_GB2312" w:hAnsi="楷体"/>
          <w:sz w:val="24"/>
          <w:u w:val="single"/>
          <w:lang w:val="en-US" w:eastAsia="zh-CN"/>
        </w:rPr>
        <w:t>1.7.2</w:t>
      </w:r>
      <w:r>
        <w:rPr>
          <w:rFonts w:hint="eastAsia" w:ascii="仿宋_GB2312" w:hAnsi="楷体"/>
          <w:sz w:val="24"/>
          <w:u w:val="single"/>
        </w:rPr>
        <w:t xml:space="preserve"> </w:t>
      </w:r>
      <w:r>
        <w:rPr>
          <w:rFonts w:hint="eastAsia" w:ascii="仿宋_GB2312" w:hAnsi="楷体"/>
          <w:sz w:val="24"/>
        </w:rPr>
        <w:t>种方式解决：</w:t>
      </w:r>
    </w:p>
    <w:p>
      <w:pPr>
        <w:spacing w:line="360" w:lineRule="auto"/>
        <w:ind w:firstLine="480" w:firstLineChars="200"/>
        <w:rPr>
          <w:rFonts w:ascii="仿宋_GB2312" w:hAnsi="楷体"/>
          <w:sz w:val="24"/>
        </w:rPr>
      </w:pPr>
      <w:r>
        <w:rPr>
          <w:rFonts w:hint="eastAsia" w:ascii="仿宋_GB2312" w:hAnsi="楷体"/>
          <w:sz w:val="24"/>
        </w:rPr>
        <w:t>1.7.1 将争议提交</w:t>
      </w:r>
      <w:r>
        <w:rPr>
          <w:rFonts w:hint="eastAsia" w:ascii="仿宋_GB2312" w:hAnsi="楷体"/>
          <w:sz w:val="24"/>
          <w:u w:val="single"/>
        </w:rPr>
        <w:t>丽水</w:t>
      </w:r>
      <w:r>
        <w:rPr>
          <w:rFonts w:hint="eastAsia" w:ascii="仿宋_GB2312" w:hAnsi="楷体"/>
          <w:sz w:val="24"/>
        </w:rPr>
        <w:t>仲裁委员会依申请仲裁时其现行有效的仲裁规则裁决；</w:t>
      </w:r>
    </w:p>
    <w:p>
      <w:pPr>
        <w:spacing w:line="360" w:lineRule="auto"/>
        <w:ind w:firstLine="480" w:firstLineChars="200"/>
        <w:rPr>
          <w:rFonts w:ascii="仿宋_GB2312" w:hAnsi="楷体"/>
          <w:sz w:val="24"/>
        </w:rPr>
      </w:pPr>
      <w:r>
        <w:rPr>
          <w:rFonts w:hint="eastAsia" w:ascii="仿宋_GB2312" w:hAnsi="楷体"/>
          <w:sz w:val="24"/>
        </w:rPr>
        <w:t>1.7.2 向</w:t>
      </w:r>
      <w:r>
        <w:rPr>
          <w:rFonts w:hint="eastAsia" w:ascii="仿宋_GB2312" w:hAnsi="楷体"/>
          <w:sz w:val="24"/>
          <w:u w:val="single"/>
          <w:lang w:val="en-US" w:eastAsia="zh-CN"/>
        </w:rPr>
        <w:t>甲方所在地</w:t>
      </w:r>
      <w:r>
        <w:rPr>
          <w:rFonts w:hint="eastAsia" w:ascii="仿宋_GB2312" w:hAnsi="楷体"/>
          <w:sz w:val="24"/>
        </w:rPr>
        <w:t>人民法院起诉。</w:t>
      </w:r>
    </w:p>
    <w:p>
      <w:pPr>
        <w:spacing w:line="360" w:lineRule="auto"/>
        <w:ind w:firstLine="482" w:firstLineChars="200"/>
        <w:rPr>
          <w:rFonts w:ascii="仿宋_GB2312"/>
          <w:b/>
          <w:sz w:val="24"/>
        </w:rPr>
      </w:pPr>
      <w:bookmarkStart w:id="36" w:name="_Toc26227"/>
      <w:bookmarkStart w:id="37" w:name="_Toc12273"/>
      <w:bookmarkStart w:id="38" w:name="_Toc23784"/>
      <w:bookmarkStart w:id="39" w:name="_Toc16417"/>
      <w:bookmarkStart w:id="40" w:name="_Toc15827"/>
      <w:r>
        <w:rPr>
          <w:rFonts w:hint="eastAsia" w:ascii="仿宋_GB2312"/>
          <w:b/>
          <w:sz w:val="24"/>
        </w:rPr>
        <w:t>1.8 合同生效</w:t>
      </w:r>
      <w:bookmarkEnd w:id="36"/>
      <w:bookmarkEnd w:id="37"/>
      <w:bookmarkEnd w:id="38"/>
      <w:bookmarkEnd w:id="39"/>
      <w:bookmarkEnd w:id="40"/>
    </w:p>
    <w:p>
      <w:pPr>
        <w:spacing w:line="360" w:lineRule="auto"/>
        <w:ind w:firstLine="480" w:firstLineChars="200"/>
        <w:rPr>
          <w:rFonts w:ascii="仿宋_GB2312" w:hAnsi="楷体"/>
          <w:b/>
          <w:sz w:val="24"/>
        </w:rPr>
      </w:pPr>
      <w:r>
        <w:rPr>
          <w:rFonts w:hint="eastAsia" w:ascii="仿宋_GB2312" w:hAnsi="楷体"/>
          <w:sz w:val="24"/>
        </w:rPr>
        <w:t>本合同自双方当事人盖章或者签字时生效。</w:t>
      </w:r>
    </w:p>
    <w:tbl>
      <w:tblPr>
        <w:tblStyle w:val="7"/>
        <w:tblW w:w="90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34"/>
        <w:gridCol w:w="1960"/>
        <w:gridCol w:w="1442"/>
        <w:gridCol w:w="1134"/>
        <w:gridCol w:w="1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jc w:val="center"/>
        </w:trPr>
        <w:tc>
          <w:tcPr>
            <w:tcW w:w="4512" w:type="dxa"/>
            <w:gridSpan w:val="3"/>
            <w:vAlign w:val="center"/>
          </w:tcPr>
          <w:p>
            <w:pPr>
              <w:snapToGrid w:val="0"/>
              <w:jc w:val="center"/>
              <w:rPr>
                <w:rFonts w:ascii="仿宋_GB2312"/>
                <w:sz w:val="24"/>
              </w:rPr>
            </w:pPr>
            <w:r>
              <w:rPr>
                <w:rFonts w:hint="eastAsia" w:ascii="仿宋_GB2312"/>
                <w:sz w:val="24"/>
              </w:rPr>
              <w:t>甲方</w:t>
            </w:r>
            <w:r>
              <w:rPr>
                <w:rFonts w:ascii="仿宋_GB2312"/>
                <w:sz w:val="24"/>
              </w:rPr>
              <w:t>（</w:t>
            </w:r>
            <w:r>
              <w:rPr>
                <w:rFonts w:hint="eastAsia" w:ascii="仿宋_GB2312"/>
                <w:sz w:val="24"/>
              </w:rPr>
              <w:t>公章</w:t>
            </w:r>
            <w:r>
              <w:rPr>
                <w:rFonts w:ascii="仿宋_GB2312"/>
                <w:sz w:val="24"/>
              </w:rPr>
              <w:t>）</w:t>
            </w:r>
          </w:p>
        </w:tc>
        <w:tc>
          <w:tcPr>
            <w:tcW w:w="4558" w:type="dxa"/>
            <w:gridSpan w:val="3"/>
            <w:vAlign w:val="center"/>
          </w:tcPr>
          <w:p>
            <w:pPr>
              <w:snapToGrid w:val="0"/>
              <w:jc w:val="center"/>
              <w:rPr>
                <w:rFonts w:ascii="仿宋_GB2312"/>
                <w:sz w:val="24"/>
              </w:rPr>
            </w:pPr>
            <w:r>
              <w:rPr>
                <w:rFonts w:hint="eastAsia" w:ascii="仿宋_GB2312"/>
                <w:sz w:val="24"/>
              </w:rPr>
              <w:t>乙方</w:t>
            </w:r>
            <w:r>
              <w:rPr>
                <w:rFonts w:ascii="仿宋_GB2312"/>
                <w:sz w:val="24"/>
              </w:rPr>
              <w:t>（</w:t>
            </w:r>
            <w:r>
              <w:rPr>
                <w:rFonts w:hint="eastAsia" w:ascii="仿宋_GB2312"/>
                <w:sz w:val="24"/>
              </w:rPr>
              <w:t>公章</w:t>
            </w:r>
            <w:r>
              <w:rPr>
                <w:rFonts w:ascii="仿宋_GB23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center"/>
              <w:rPr>
                <w:rFonts w:ascii="仿宋_GB2312"/>
                <w:sz w:val="24"/>
              </w:rPr>
            </w:pPr>
            <w:r>
              <w:rPr>
                <w:rFonts w:hint="eastAsia" w:ascii="仿宋_GB2312"/>
                <w:sz w:val="24"/>
              </w:rPr>
              <w:t>法定</w:t>
            </w:r>
            <w:r>
              <w:rPr>
                <w:rFonts w:ascii="仿宋_GB2312"/>
                <w:sz w:val="24"/>
              </w:rPr>
              <w:t>代表人</w:t>
            </w:r>
          </w:p>
        </w:tc>
        <w:tc>
          <w:tcPr>
            <w:tcW w:w="1134" w:type="dxa"/>
            <w:vMerge w:val="restart"/>
            <w:vAlign w:val="center"/>
          </w:tcPr>
          <w:p>
            <w:pPr>
              <w:widowControl/>
              <w:jc w:val="left"/>
              <w:rPr>
                <w:rFonts w:ascii="仿宋_GB2312"/>
                <w:sz w:val="24"/>
              </w:rPr>
            </w:pPr>
            <w:r>
              <w:rPr>
                <w:rFonts w:hint="eastAsia" w:ascii="仿宋_GB2312"/>
                <w:sz w:val="24"/>
              </w:rPr>
              <w:t>(签字):</w:t>
            </w:r>
          </w:p>
        </w:tc>
        <w:tc>
          <w:tcPr>
            <w:tcW w:w="1960" w:type="dxa"/>
            <w:vMerge w:val="restart"/>
            <w:vAlign w:val="center"/>
          </w:tcPr>
          <w:p>
            <w:pPr>
              <w:snapToGrid w:val="0"/>
              <w:jc w:val="center"/>
              <w:rPr>
                <w:rFonts w:ascii="仿宋_GB2312"/>
                <w:sz w:val="24"/>
              </w:rPr>
            </w:pPr>
          </w:p>
        </w:tc>
        <w:tc>
          <w:tcPr>
            <w:tcW w:w="1442" w:type="dxa"/>
            <w:vAlign w:val="center"/>
          </w:tcPr>
          <w:p>
            <w:pPr>
              <w:rPr>
                <w:rFonts w:ascii="仿宋_GB2312"/>
                <w:sz w:val="24"/>
              </w:rPr>
            </w:pPr>
            <w:r>
              <w:rPr>
                <w:rFonts w:hint="eastAsia" w:ascii="仿宋_GB2312"/>
                <w:sz w:val="24"/>
              </w:rPr>
              <w:t>法定</w:t>
            </w:r>
            <w:r>
              <w:rPr>
                <w:rFonts w:ascii="仿宋_GB2312"/>
                <w:sz w:val="24"/>
              </w:rPr>
              <w:t>代表人</w:t>
            </w:r>
          </w:p>
        </w:tc>
        <w:tc>
          <w:tcPr>
            <w:tcW w:w="1134" w:type="dxa"/>
            <w:vMerge w:val="restart"/>
            <w:vAlign w:val="center"/>
          </w:tcPr>
          <w:p>
            <w:pPr>
              <w:widowControl/>
              <w:jc w:val="left"/>
              <w:rPr>
                <w:rFonts w:ascii="仿宋_GB2312"/>
                <w:sz w:val="24"/>
              </w:rPr>
            </w:pPr>
            <w:r>
              <w:rPr>
                <w:rFonts w:hint="eastAsia" w:ascii="仿宋_GB2312"/>
                <w:sz w:val="24"/>
              </w:rPr>
              <w:t>(签字):</w:t>
            </w:r>
          </w:p>
        </w:tc>
        <w:tc>
          <w:tcPr>
            <w:tcW w:w="1982" w:type="dxa"/>
            <w:vMerge w:val="restart"/>
            <w:vAlign w:val="center"/>
          </w:tcPr>
          <w:p>
            <w:pPr>
              <w:snapToGrid w:val="0"/>
              <w:jc w:val="center"/>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418" w:type="dxa"/>
            <w:vAlign w:val="center"/>
          </w:tcPr>
          <w:p>
            <w:pPr>
              <w:snapToGrid w:val="0"/>
              <w:jc w:val="center"/>
              <w:rPr>
                <w:rFonts w:hint="eastAsia" w:ascii="仿宋_GB2312" w:eastAsia="仿宋_GB2312"/>
                <w:sz w:val="24"/>
                <w:lang w:val="en-US" w:eastAsia="zh-CN"/>
              </w:rPr>
            </w:pPr>
            <w:r>
              <w:rPr>
                <w:rFonts w:hint="eastAsia" w:ascii="仿宋_GB2312"/>
                <w:sz w:val="24"/>
              </w:rPr>
              <w:t>或</w:t>
            </w:r>
            <w:r>
              <w:rPr>
                <w:rFonts w:ascii="仿宋_GB2312"/>
                <w:sz w:val="24"/>
              </w:rPr>
              <w:t>被委托</w:t>
            </w:r>
            <w:r>
              <w:rPr>
                <w:rFonts w:hint="eastAsia" w:ascii="仿宋_GB2312"/>
                <w:sz w:val="24"/>
                <w:lang w:val="en-US" w:eastAsia="zh-CN"/>
              </w:rPr>
              <w:t>人</w:t>
            </w:r>
          </w:p>
        </w:tc>
        <w:tc>
          <w:tcPr>
            <w:tcW w:w="1134" w:type="dxa"/>
            <w:vMerge w:val="continue"/>
            <w:vAlign w:val="center"/>
          </w:tcPr>
          <w:p>
            <w:pPr>
              <w:snapToGrid w:val="0"/>
              <w:jc w:val="center"/>
              <w:rPr>
                <w:rFonts w:ascii="仿宋_GB2312"/>
                <w:sz w:val="24"/>
              </w:rPr>
            </w:pPr>
          </w:p>
        </w:tc>
        <w:tc>
          <w:tcPr>
            <w:tcW w:w="1960" w:type="dxa"/>
            <w:vMerge w:val="continue"/>
            <w:vAlign w:val="center"/>
          </w:tcPr>
          <w:p>
            <w:pPr>
              <w:snapToGrid w:val="0"/>
              <w:jc w:val="center"/>
              <w:rPr>
                <w:rFonts w:ascii="仿宋_GB2312"/>
                <w:sz w:val="24"/>
              </w:rPr>
            </w:pPr>
          </w:p>
        </w:tc>
        <w:tc>
          <w:tcPr>
            <w:tcW w:w="1442" w:type="dxa"/>
            <w:vAlign w:val="center"/>
          </w:tcPr>
          <w:p>
            <w:pPr>
              <w:rPr>
                <w:rFonts w:hint="eastAsia" w:ascii="仿宋_GB2312" w:eastAsia="仿宋_GB2312"/>
                <w:sz w:val="24"/>
                <w:lang w:val="en-US" w:eastAsia="zh-CN"/>
              </w:rPr>
            </w:pPr>
            <w:r>
              <w:rPr>
                <w:rFonts w:hint="eastAsia" w:ascii="仿宋_GB2312"/>
                <w:sz w:val="24"/>
              </w:rPr>
              <w:t>或</w:t>
            </w:r>
            <w:r>
              <w:rPr>
                <w:rFonts w:ascii="仿宋_GB2312"/>
                <w:sz w:val="24"/>
              </w:rPr>
              <w:t>被委托</w:t>
            </w:r>
            <w:r>
              <w:rPr>
                <w:rFonts w:hint="eastAsia" w:ascii="仿宋_GB2312"/>
                <w:sz w:val="24"/>
                <w:lang w:val="en-US" w:eastAsia="zh-CN"/>
              </w:rPr>
              <w:t>人</w:t>
            </w:r>
          </w:p>
        </w:tc>
        <w:tc>
          <w:tcPr>
            <w:tcW w:w="1134" w:type="dxa"/>
            <w:vMerge w:val="continue"/>
            <w:vAlign w:val="center"/>
          </w:tcPr>
          <w:p>
            <w:pPr>
              <w:snapToGrid w:val="0"/>
              <w:jc w:val="center"/>
              <w:rPr>
                <w:rFonts w:ascii="仿宋_GB2312"/>
                <w:sz w:val="24"/>
              </w:rPr>
            </w:pPr>
          </w:p>
        </w:tc>
        <w:tc>
          <w:tcPr>
            <w:tcW w:w="1982" w:type="dxa"/>
            <w:vMerge w:val="continue"/>
            <w:vAlign w:val="center"/>
          </w:tcPr>
          <w:p>
            <w:pPr>
              <w:snapToGrid w:val="0"/>
              <w:jc w:val="center"/>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地    址：</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地    址：</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 xml:space="preserve">联 系 </w:t>
            </w:r>
            <w:r>
              <w:rPr>
                <w:rFonts w:ascii="仿宋_GB2312"/>
                <w:sz w:val="24"/>
              </w:rPr>
              <w:t>人</w:t>
            </w:r>
            <w:r>
              <w:rPr>
                <w:rFonts w:hint="eastAsia" w:ascii="仿宋_GB2312"/>
                <w:sz w:val="24"/>
              </w:rPr>
              <w:t>：</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 xml:space="preserve">联 系 </w:t>
            </w:r>
            <w:r>
              <w:rPr>
                <w:rFonts w:ascii="仿宋_GB2312"/>
                <w:sz w:val="24"/>
              </w:rPr>
              <w:t>人</w:t>
            </w:r>
            <w:r>
              <w:rPr>
                <w:rFonts w:hint="eastAsia" w:ascii="仿宋_GB2312"/>
                <w:sz w:val="24"/>
              </w:rPr>
              <w:t>：</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电    话</w:t>
            </w:r>
            <w:r>
              <w:rPr>
                <w:rFonts w:ascii="仿宋_GB2312"/>
                <w:sz w:val="24"/>
              </w:rPr>
              <w:t>：</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电    话</w:t>
            </w:r>
            <w:r>
              <w:rPr>
                <w:rFonts w:ascii="仿宋_GB2312"/>
                <w:sz w:val="24"/>
              </w:rPr>
              <w:t>：</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传    真</w:t>
            </w:r>
            <w:r>
              <w:rPr>
                <w:rFonts w:ascii="仿宋_GB2312"/>
                <w:sz w:val="24"/>
              </w:rPr>
              <w:t>：</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传    真</w:t>
            </w:r>
            <w:r>
              <w:rPr>
                <w:rFonts w:ascii="仿宋_GB2312"/>
                <w:sz w:val="24"/>
              </w:rPr>
              <w:t>：</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邮政</w:t>
            </w:r>
            <w:r>
              <w:rPr>
                <w:rFonts w:ascii="仿宋_GB2312"/>
                <w:sz w:val="24"/>
              </w:rPr>
              <w:t>编</w:t>
            </w:r>
            <w:r>
              <w:rPr>
                <w:rFonts w:hint="eastAsia" w:ascii="仿宋_GB2312"/>
                <w:sz w:val="24"/>
              </w:rPr>
              <w:t>码：</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邮政</w:t>
            </w:r>
            <w:r>
              <w:rPr>
                <w:rFonts w:ascii="仿宋_GB2312"/>
                <w:sz w:val="24"/>
              </w:rPr>
              <w:t>编</w:t>
            </w:r>
            <w:r>
              <w:rPr>
                <w:rFonts w:hint="eastAsia" w:ascii="仿宋_GB2312"/>
                <w:sz w:val="24"/>
              </w:rPr>
              <w:t>码：</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hAnsi="宋体"/>
                <w:sz w:val="24"/>
              </w:rPr>
              <w:t>开户银行：</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hAnsi="宋体"/>
                <w:sz w:val="24"/>
              </w:rPr>
              <w:t>开户银行：</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snapToGrid w:val="0"/>
              <w:jc w:val="distribute"/>
              <w:rPr>
                <w:rFonts w:ascii="仿宋_GB2312"/>
                <w:sz w:val="24"/>
              </w:rPr>
            </w:pPr>
            <w:r>
              <w:rPr>
                <w:rFonts w:hint="eastAsia" w:ascii="仿宋_GB2312"/>
                <w:sz w:val="24"/>
              </w:rPr>
              <w:t xml:space="preserve">账 </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号：</w:t>
            </w:r>
          </w:p>
        </w:tc>
        <w:tc>
          <w:tcPr>
            <w:tcW w:w="3094" w:type="dxa"/>
            <w:gridSpan w:val="2"/>
            <w:vAlign w:val="center"/>
          </w:tcPr>
          <w:p>
            <w:pPr>
              <w:snapToGrid w:val="0"/>
              <w:rPr>
                <w:rFonts w:ascii="仿宋_GB2312"/>
                <w:sz w:val="24"/>
              </w:rPr>
            </w:pPr>
          </w:p>
        </w:tc>
        <w:tc>
          <w:tcPr>
            <w:tcW w:w="1442" w:type="dxa"/>
            <w:vAlign w:val="center"/>
          </w:tcPr>
          <w:p>
            <w:pPr>
              <w:snapToGrid w:val="0"/>
              <w:jc w:val="distribute"/>
              <w:rPr>
                <w:rFonts w:ascii="仿宋_GB2312"/>
                <w:sz w:val="24"/>
              </w:rPr>
            </w:pPr>
            <w:r>
              <w:rPr>
                <w:rFonts w:hint="eastAsia" w:ascii="仿宋_GB2312"/>
                <w:sz w:val="24"/>
              </w:rPr>
              <w:t xml:space="preserve">账 </w:t>
            </w:r>
            <w:r>
              <w:rPr>
                <w:rFonts w:ascii="仿宋_GB2312"/>
                <w:sz w:val="24"/>
              </w:rPr>
              <w:t xml:space="preserve">   </w:t>
            </w:r>
            <w:r>
              <w:rPr>
                <w:rFonts w:hint="eastAsia" w:ascii="仿宋_GB2312"/>
                <w:sz w:val="24"/>
              </w:rPr>
              <w:t>号：</w:t>
            </w:r>
          </w:p>
        </w:tc>
        <w:tc>
          <w:tcPr>
            <w:tcW w:w="3116" w:type="dxa"/>
            <w:gridSpan w:val="2"/>
            <w:vAlign w:val="center"/>
          </w:tcPr>
          <w:p>
            <w:pPr>
              <w:snapToGrid w:val="0"/>
              <w:rPr>
                <w:rFonts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512" w:type="dxa"/>
            <w:gridSpan w:val="3"/>
            <w:vAlign w:val="center"/>
          </w:tcPr>
          <w:p>
            <w:pPr>
              <w:snapToGrid w:val="0"/>
              <w:jc w:val="center"/>
              <w:rPr>
                <w:rFonts w:ascii="仿宋_GB2312"/>
                <w:sz w:val="24"/>
              </w:rPr>
            </w:pPr>
            <w:r>
              <w:rPr>
                <w:rFonts w:hint="eastAsia" w:ascii="仿宋_GB2312"/>
                <w:sz w:val="24"/>
              </w:rPr>
              <w:t>签约</w:t>
            </w:r>
            <w:r>
              <w:rPr>
                <w:rFonts w:ascii="仿宋_GB2312"/>
                <w:sz w:val="24"/>
              </w:rPr>
              <w:t>日期：</w:t>
            </w:r>
            <w:r>
              <w:rPr>
                <w:rFonts w:hint="eastAsia" w:ascii="仿宋_GB2312"/>
                <w:sz w:val="24"/>
              </w:rPr>
              <w:t xml:space="preserve">    </w:t>
            </w:r>
            <w:r>
              <w:rPr>
                <w:rFonts w:ascii="仿宋_GB2312"/>
                <w:sz w:val="24"/>
              </w:rPr>
              <w:t xml:space="preserve">   </w:t>
            </w:r>
            <w:r>
              <w:rPr>
                <w:rFonts w:hint="eastAsia" w:ascii="仿宋_GB2312"/>
                <w:sz w:val="24"/>
              </w:rPr>
              <w:t xml:space="preserve">年  </w:t>
            </w:r>
            <w:r>
              <w:rPr>
                <w:rFonts w:ascii="仿宋_GB2312"/>
                <w:sz w:val="24"/>
              </w:rPr>
              <w:t>月</w:t>
            </w:r>
            <w:r>
              <w:rPr>
                <w:rFonts w:hint="eastAsia" w:ascii="仿宋_GB2312"/>
                <w:sz w:val="24"/>
              </w:rPr>
              <w:t xml:space="preserve">  </w:t>
            </w:r>
            <w:r>
              <w:rPr>
                <w:rFonts w:ascii="仿宋_GB2312"/>
                <w:sz w:val="24"/>
              </w:rPr>
              <w:t xml:space="preserve"> </w:t>
            </w:r>
            <w:r>
              <w:rPr>
                <w:rFonts w:hint="eastAsia" w:ascii="仿宋_GB2312"/>
                <w:sz w:val="24"/>
              </w:rPr>
              <w:t>日</w:t>
            </w:r>
          </w:p>
        </w:tc>
        <w:tc>
          <w:tcPr>
            <w:tcW w:w="4558" w:type="dxa"/>
            <w:gridSpan w:val="3"/>
            <w:vAlign w:val="center"/>
          </w:tcPr>
          <w:p>
            <w:pPr>
              <w:snapToGrid w:val="0"/>
              <w:jc w:val="center"/>
              <w:rPr>
                <w:rFonts w:ascii="仿宋_GB2312"/>
                <w:sz w:val="24"/>
              </w:rPr>
            </w:pPr>
            <w:r>
              <w:rPr>
                <w:rFonts w:hint="eastAsia" w:ascii="仿宋_GB2312"/>
                <w:sz w:val="24"/>
              </w:rPr>
              <w:t>签约</w:t>
            </w:r>
            <w:r>
              <w:rPr>
                <w:rFonts w:ascii="仿宋_GB2312"/>
                <w:sz w:val="24"/>
              </w:rPr>
              <w:t>日期：</w:t>
            </w:r>
            <w:r>
              <w:rPr>
                <w:rFonts w:hint="eastAsia" w:ascii="仿宋_GB2312"/>
                <w:sz w:val="24"/>
              </w:rPr>
              <w:t xml:space="preserve">    </w:t>
            </w:r>
            <w:r>
              <w:rPr>
                <w:rFonts w:ascii="仿宋_GB2312"/>
                <w:sz w:val="24"/>
              </w:rPr>
              <w:t xml:space="preserve">   </w:t>
            </w:r>
            <w:r>
              <w:rPr>
                <w:rFonts w:hint="eastAsia" w:ascii="仿宋_GB2312"/>
                <w:sz w:val="24"/>
              </w:rPr>
              <w:t xml:space="preserve">年  </w:t>
            </w:r>
            <w:r>
              <w:rPr>
                <w:rFonts w:ascii="仿宋_GB2312"/>
                <w:sz w:val="24"/>
              </w:rPr>
              <w:t>月</w:t>
            </w:r>
            <w:r>
              <w:rPr>
                <w:rFonts w:hint="eastAsia" w:ascii="仿宋_GB2312"/>
                <w:sz w:val="24"/>
              </w:rPr>
              <w:t xml:space="preserve">  </w:t>
            </w:r>
            <w:r>
              <w:rPr>
                <w:rFonts w:ascii="仿宋_GB2312"/>
                <w:sz w:val="24"/>
              </w:rPr>
              <w:t xml:space="preserve"> </w:t>
            </w:r>
            <w:r>
              <w:rPr>
                <w:rFonts w:hint="eastAsia" w:ascii="仿宋_GB2312"/>
                <w:sz w:val="24"/>
              </w:rPr>
              <w:t>日</w:t>
            </w:r>
          </w:p>
        </w:tc>
      </w:tr>
    </w:tbl>
    <w:p>
      <w:pPr>
        <w:autoSpaceDE w:val="0"/>
        <w:autoSpaceDN w:val="0"/>
        <w:adjustRightInd w:val="0"/>
        <w:spacing w:line="360" w:lineRule="auto"/>
        <w:rPr>
          <w:rFonts w:ascii="仿宋_GB2312" w:hAnsi="楷体"/>
          <w:sz w:val="24"/>
        </w:rPr>
      </w:pPr>
    </w:p>
    <w:p>
      <w:pPr>
        <w:autoSpaceDE w:val="0"/>
        <w:autoSpaceDN w:val="0"/>
        <w:adjustRightInd w:val="0"/>
        <w:spacing w:line="360" w:lineRule="auto"/>
        <w:rPr>
          <w:rFonts w:ascii="仿宋_GB2312" w:hAnsi="楷体"/>
          <w:sz w:val="24"/>
        </w:rPr>
      </w:pPr>
    </w:p>
    <w:p>
      <w:pPr>
        <w:pStyle w:val="9"/>
        <w:spacing w:line="360" w:lineRule="auto"/>
        <w:ind w:firstLine="200"/>
        <w:jc w:val="center"/>
        <w:rPr>
          <w:rFonts w:ascii="仿宋_GB2312" w:hAnsi="楷体" w:eastAsia="仿宋_GB2312"/>
          <w:b/>
          <w:szCs w:val="24"/>
        </w:rPr>
        <w:sectPr>
          <w:pgSz w:w="11907" w:h="16840"/>
          <w:pgMar w:top="1418" w:right="1418" w:bottom="1418" w:left="1418" w:header="851" w:footer="851" w:gutter="0"/>
          <w:cols w:space="425" w:num="1"/>
          <w:docGrid w:linePitch="312" w:charSpace="0"/>
        </w:sectPr>
      </w:pPr>
      <w:bookmarkStart w:id="41" w:name="_Toc331685783"/>
    </w:p>
    <w:p>
      <w:pPr>
        <w:pStyle w:val="9"/>
        <w:spacing w:line="360" w:lineRule="auto"/>
        <w:ind w:firstLine="200"/>
        <w:jc w:val="center"/>
        <w:rPr>
          <w:rFonts w:ascii="仿宋_GB2312" w:hAnsi="楷体" w:eastAsia="仿宋_GB2312"/>
          <w:b/>
          <w:szCs w:val="24"/>
        </w:rPr>
      </w:pPr>
      <w:r>
        <w:rPr>
          <w:rFonts w:hint="eastAsia" w:ascii="仿宋_GB2312" w:hAnsi="楷体" w:eastAsia="仿宋_GB2312"/>
          <w:b/>
          <w:szCs w:val="24"/>
        </w:rPr>
        <w:t>第二部分 合同一般条款</w:t>
      </w:r>
      <w:bookmarkEnd w:id="41"/>
    </w:p>
    <w:p>
      <w:pPr>
        <w:spacing w:line="360" w:lineRule="auto"/>
        <w:ind w:firstLine="482" w:firstLineChars="200"/>
        <w:rPr>
          <w:rFonts w:ascii="仿宋_GB2312"/>
          <w:b/>
          <w:sz w:val="24"/>
        </w:rPr>
      </w:pPr>
      <w:bookmarkStart w:id="42" w:name="_Ref467379195"/>
      <w:bookmarkStart w:id="43" w:name="_Ref467378499"/>
      <w:bookmarkStart w:id="44" w:name="_Toc279701240"/>
      <w:bookmarkStart w:id="45" w:name="_Ref467378404"/>
      <w:bookmarkStart w:id="46" w:name="_Ref467379205"/>
      <w:bookmarkStart w:id="47" w:name="_Toc487900349"/>
      <w:bookmarkStart w:id="48" w:name="_Ref467379094"/>
      <w:bookmarkStart w:id="49" w:name="_Toc31297"/>
      <w:bookmarkStart w:id="50" w:name="_Ref467379225"/>
      <w:bookmarkStart w:id="51" w:name="_Ref467379109"/>
      <w:bookmarkStart w:id="52" w:name="_Toc25079"/>
      <w:bookmarkStart w:id="53" w:name="_Toc5228"/>
      <w:bookmarkStart w:id="54" w:name="_Toc14021"/>
      <w:bookmarkStart w:id="55" w:name="_Ref467379101"/>
      <w:bookmarkStart w:id="56" w:name="_Toc19680"/>
      <w:bookmarkStart w:id="57" w:name="_Ref467378463"/>
      <w:bookmarkStart w:id="58" w:name="_Ref467379214"/>
      <w:bookmarkStart w:id="59" w:name="_Toc259093669"/>
      <w:r>
        <w:rPr>
          <w:rFonts w:hint="eastAsia" w:ascii="仿宋_GB2312"/>
          <w:b/>
          <w:sz w:val="24"/>
        </w:rPr>
        <w:t>2.1 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360" w:lineRule="auto"/>
        <w:ind w:firstLine="480" w:firstLineChars="200"/>
        <w:rPr>
          <w:rFonts w:ascii="仿宋_GB2312" w:hAnsi="楷体"/>
          <w:sz w:val="24"/>
        </w:rPr>
      </w:pPr>
      <w:r>
        <w:rPr>
          <w:rFonts w:hint="eastAsia" w:ascii="仿宋_GB2312" w:hAnsi="楷体"/>
          <w:sz w:val="24"/>
        </w:rPr>
        <w:t>本合同中的下列词语应按以下内容进行解释：</w:t>
      </w:r>
    </w:p>
    <w:p>
      <w:pPr>
        <w:spacing w:line="360" w:lineRule="auto"/>
        <w:ind w:firstLine="480" w:firstLineChars="200"/>
        <w:rPr>
          <w:rFonts w:ascii="仿宋_GB2312" w:hAnsi="楷体"/>
          <w:sz w:val="24"/>
        </w:rPr>
      </w:pPr>
      <w:r>
        <w:rPr>
          <w:rFonts w:hint="eastAsia" w:ascii="仿宋_GB2312" w:hAnsi="楷体"/>
          <w:sz w:val="24"/>
        </w:rPr>
        <w:t>2.1.1 “合同”系指采购人和中标人签订的载明双方当事人所达成的协议，并包括所有的附件、附录和构成合同的其他文件。</w:t>
      </w:r>
    </w:p>
    <w:p>
      <w:pPr>
        <w:spacing w:line="360" w:lineRule="auto"/>
        <w:ind w:firstLine="480" w:firstLineChars="200"/>
        <w:rPr>
          <w:rFonts w:ascii="仿宋_GB2312" w:hAnsi="楷体"/>
          <w:sz w:val="24"/>
        </w:rPr>
      </w:pPr>
      <w:r>
        <w:rPr>
          <w:rFonts w:hint="eastAsia" w:ascii="仿宋_GB2312" w:hAnsi="楷体"/>
          <w:sz w:val="24"/>
        </w:rPr>
        <w:t>2.1.2 “合同价”系指根据合同约定，中标人在完全履行合同义务后，采购人应支付给中标人的价格。</w:t>
      </w:r>
    </w:p>
    <w:p>
      <w:pPr>
        <w:spacing w:line="360" w:lineRule="auto"/>
        <w:ind w:firstLine="480" w:firstLineChars="200"/>
        <w:rPr>
          <w:rFonts w:ascii="仿宋_GB2312" w:hAnsi="楷体"/>
          <w:sz w:val="24"/>
        </w:rPr>
      </w:pPr>
      <w:r>
        <w:rPr>
          <w:rFonts w:hint="eastAsia" w:ascii="仿宋_GB2312" w:hAnsi="楷体"/>
          <w:sz w:val="24"/>
        </w:rPr>
        <w:t>2.1.3 “服务”系指中标人根据合同约定应向采购人履行的除货物和工程以外的其他政府采购对象，包括采购人自身需要的服务和向社会公众提供的公共服务。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_GB2312" w:hAnsi="楷体"/>
          <w:sz w:val="24"/>
        </w:rPr>
      </w:pPr>
      <w:bookmarkStart w:id="60" w:name="_Ref467378840"/>
      <w:r>
        <w:rPr>
          <w:rFonts w:hint="eastAsia" w:ascii="仿宋_GB2312" w:hAnsi="楷体"/>
          <w:sz w:val="24"/>
        </w:rPr>
        <w:t>2.1.4 “甲方”系指与中标人签署合同的采购人</w:t>
      </w:r>
      <w:bookmarkEnd w:id="60"/>
      <w:r>
        <w:rPr>
          <w:rFonts w:hint="eastAsia" w:ascii="仿宋_GB2312" w:hAnsi="楷体"/>
          <w:sz w:val="24"/>
        </w:rPr>
        <w:t>；采购人委托采购代理机构代表其与乙方签订合同的，采购人的授权委托书作为合同附件。</w:t>
      </w:r>
    </w:p>
    <w:p>
      <w:pPr>
        <w:spacing w:line="360" w:lineRule="auto"/>
        <w:ind w:firstLine="480" w:firstLineChars="200"/>
        <w:rPr>
          <w:rFonts w:ascii="仿宋_GB2312" w:hAnsi="楷体"/>
          <w:sz w:val="24"/>
        </w:rPr>
      </w:pPr>
      <w:bookmarkStart w:id="61" w:name="_Ref467379400"/>
      <w:r>
        <w:rPr>
          <w:rFonts w:hint="eastAsia" w:ascii="仿宋_GB2312" w:hAnsi="楷体"/>
          <w:sz w:val="24"/>
        </w:rPr>
        <w:t>2.1.5 “乙方”系指根据合同约定提供服务的中标人</w:t>
      </w:r>
      <w:bookmarkEnd w:id="61"/>
      <w:r>
        <w:rPr>
          <w:rFonts w:hint="eastAsia" w:ascii="仿宋_GB2312" w:hAnsi="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sz w:val="24"/>
        </w:rPr>
      </w:pPr>
      <w:bookmarkStart w:id="62" w:name="_Ref467379436"/>
      <w:r>
        <w:rPr>
          <w:rFonts w:hint="eastAsia" w:ascii="仿宋_GB2312" w:hAnsi="楷体"/>
          <w:sz w:val="24"/>
        </w:rPr>
        <w:t>2.1.6 “现场”系指合同约定提供服务的地点。</w:t>
      </w:r>
      <w:bookmarkEnd w:id="62"/>
    </w:p>
    <w:p>
      <w:pPr>
        <w:spacing w:line="360" w:lineRule="auto"/>
        <w:ind w:firstLine="482" w:firstLineChars="200"/>
        <w:rPr>
          <w:rFonts w:ascii="仿宋_GB2312"/>
          <w:b/>
          <w:sz w:val="24"/>
        </w:rPr>
      </w:pPr>
      <w:bookmarkStart w:id="63" w:name="_Toc259093670"/>
      <w:bookmarkStart w:id="64" w:name="_Toc16752"/>
      <w:bookmarkStart w:id="65" w:name="_Toc19539"/>
      <w:bookmarkStart w:id="66" w:name="_Toc23289"/>
      <w:bookmarkStart w:id="67" w:name="_Toc31402"/>
      <w:bookmarkStart w:id="68" w:name="_Toc487900350"/>
      <w:bookmarkStart w:id="69" w:name="_Toc279701241"/>
      <w:bookmarkStart w:id="70" w:name="_Toc3769"/>
      <w:r>
        <w:rPr>
          <w:rFonts w:hint="eastAsia" w:ascii="仿宋_GB2312"/>
          <w:b/>
          <w:sz w:val="24"/>
        </w:rPr>
        <w:t>2.2 技术规范</w:t>
      </w:r>
      <w:bookmarkEnd w:id="63"/>
      <w:bookmarkEnd w:id="64"/>
      <w:bookmarkEnd w:id="65"/>
      <w:bookmarkEnd w:id="66"/>
      <w:bookmarkEnd w:id="67"/>
      <w:bookmarkEnd w:id="68"/>
      <w:bookmarkEnd w:id="69"/>
      <w:bookmarkEnd w:id="70"/>
    </w:p>
    <w:p>
      <w:pPr>
        <w:spacing w:line="360" w:lineRule="auto"/>
        <w:ind w:firstLine="480" w:firstLineChars="200"/>
        <w:rPr>
          <w:rFonts w:ascii="仿宋_GB2312" w:hAnsi="楷体"/>
          <w:sz w:val="24"/>
        </w:rPr>
      </w:pPr>
      <w:r>
        <w:rPr>
          <w:rFonts w:hint="eastAsia" w:ascii="仿宋_GB2312" w:hAnsi="楷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仿宋_GB2312"/>
          <w:b/>
          <w:sz w:val="24"/>
        </w:rPr>
      </w:pPr>
      <w:bookmarkStart w:id="71" w:name="_Toc4133"/>
      <w:bookmarkStart w:id="72" w:name="_Toc487900351"/>
      <w:bookmarkStart w:id="73" w:name="_Toc9161"/>
      <w:bookmarkStart w:id="74" w:name="_Toc13673"/>
      <w:bookmarkStart w:id="75" w:name="_Toc279701242"/>
      <w:bookmarkStart w:id="76" w:name="_Toc259093671"/>
      <w:bookmarkStart w:id="77" w:name="_Toc12412"/>
      <w:bookmarkStart w:id="78" w:name="_Toc27945"/>
      <w:r>
        <w:rPr>
          <w:rFonts w:hint="eastAsia" w:ascii="仿宋_GB2312"/>
          <w:b/>
          <w:sz w:val="24"/>
        </w:rPr>
        <w:t>2.3 知识产权</w:t>
      </w:r>
      <w:bookmarkEnd w:id="71"/>
      <w:bookmarkEnd w:id="72"/>
      <w:bookmarkEnd w:id="73"/>
      <w:bookmarkEnd w:id="74"/>
      <w:bookmarkEnd w:id="75"/>
      <w:bookmarkEnd w:id="76"/>
      <w:bookmarkEnd w:id="77"/>
      <w:bookmarkEnd w:id="78"/>
    </w:p>
    <w:p>
      <w:pPr>
        <w:spacing w:line="360" w:lineRule="auto"/>
        <w:ind w:firstLine="480" w:firstLineChars="200"/>
        <w:rPr>
          <w:rFonts w:ascii="仿宋_GB2312" w:hAnsi="楷体"/>
          <w:sz w:val="24"/>
        </w:rPr>
      </w:pPr>
      <w:r>
        <w:rPr>
          <w:rFonts w:hint="eastAsia" w:ascii="仿宋_GB2312" w:hAnsi="楷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sz w:val="24"/>
        </w:rPr>
      </w:pPr>
      <w:r>
        <w:rPr>
          <w:rFonts w:hint="eastAsia" w:ascii="仿宋_GB2312" w:hAnsi="楷体"/>
          <w:sz w:val="24"/>
        </w:rPr>
        <w:t>2.3.2 合同涉及技术成果的归属和收益的分成办法的，详见</w:t>
      </w:r>
      <w:r>
        <w:rPr>
          <w:rFonts w:hint="eastAsia" w:ascii="仿宋_GB2312" w:hAnsi="楷体"/>
          <w:b/>
          <w:i/>
          <w:sz w:val="24"/>
          <w:u w:val="single"/>
        </w:rPr>
        <w:t>合同专用条款</w:t>
      </w:r>
      <w:r>
        <w:rPr>
          <w:rFonts w:hint="eastAsia" w:ascii="仿宋_GB2312" w:hAnsi="楷体"/>
          <w:sz w:val="24"/>
        </w:rPr>
        <w:t>。</w:t>
      </w:r>
    </w:p>
    <w:p>
      <w:pPr>
        <w:spacing w:line="360" w:lineRule="auto"/>
        <w:ind w:firstLine="482" w:firstLineChars="200"/>
        <w:rPr>
          <w:rFonts w:ascii="仿宋_GB2312" w:hAnsi="楷体"/>
          <w:b/>
          <w:sz w:val="24"/>
        </w:rPr>
      </w:pPr>
      <w:r>
        <w:rPr>
          <w:rFonts w:hint="eastAsia" w:ascii="仿宋_GB2312" w:hAnsi="楷体"/>
          <w:b/>
          <w:sz w:val="24"/>
        </w:rPr>
        <w:t>2.4 履约检查和问题反馈</w:t>
      </w:r>
    </w:p>
    <w:p>
      <w:pPr>
        <w:spacing w:line="360" w:lineRule="auto"/>
        <w:ind w:firstLine="480" w:firstLineChars="200"/>
        <w:rPr>
          <w:rFonts w:ascii="仿宋_GB2312" w:hAnsi="楷体"/>
          <w:sz w:val="24"/>
        </w:rPr>
      </w:pPr>
      <w:bookmarkStart w:id="79" w:name="_Ref467379657"/>
      <w:r>
        <w:rPr>
          <w:rFonts w:hint="eastAsia" w:ascii="仿宋_GB2312" w:hAnsi="楷体"/>
          <w:sz w:val="24"/>
        </w:rPr>
        <w:t>2.4.1</w:t>
      </w:r>
      <w:bookmarkEnd w:id="79"/>
      <w:bookmarkStart w:id="80" w:name="_Toc186431854"/>
      <w:bookmarkStart w:id="81" w:name="_Toc487900357"/>
      <w:bookmarkStart w:id="82" w:name="_Ref467379793"/>
      <w:bookmarkStart w:id="83" w:name="_Ref467379807"/>
      <w:bookmarkStart w:id="84" w:name="_Toc279701247"/>
      <w:bookmarkStart w:id="85" w:name="_Toc259093676"/>
      <w:r>
        <w:rPr>
          <w:rFonts w:hint="eastAsia" w:ascii="仿宋_GB2312" w:hAnsi="楷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_GB2312" w:hAnsi="楷体"/>
          <w:sz w:val="24"/>
        </w:rPr>
      </w:pPr>
      <w:r>
        <w:rPr>
          <w:rFonts w:hint="eastAsia" w:ascii="仿宋_GB2312" w:hAnsi="楷体"/>
          <w:sz w:val="24"/>
        </w:rPr>
        <w:t>2.4.2 合同履行期间，甲方有权将履行过程中出现的问题反馈给乙方，双方当事人应以书面形式约定需要完善和改进的内容</w:t>
      </w:r>
      <w:bookmarkEnd w:id="80"/>
      <w:bookmarkStart w:id="86" w:name="_Toc186431855"/>
      <w:r>
        <w:rPr>
          <w:rFonts w:hint="eastAsia" w:ascii="仿宋_GB2312" w:hAnsi="楷体"/>
          <w:sz w:val="24"/>
        </w:rPr>
        <w:t>。</w:t>
      </w:r>
    </w:p>
    <w:bookmarkEnd w:id="86"/>
    <w:p>
      <w:pPr>
        <w:spacing w:line="360" w:lineRule="auto"/>
        <w:ind w:firstLine="482" w:firstLineChars="200"/>
        <w:rPr>
          <w:rFonts w:ascii="仿宋_GB2312"/>
          <w:b/>
          <w:sz w:val="24"/>
        </w:rPr>
      </w:pPr>
      <w:bookmarkStart w:id="87" w:name="_Toc32670"/>
      <w:bookmarkStart w:id="88" w:name="_Toc15447"/>
      <w:bookmarkStart w:id="89" w:name="_Toc22011"/>
      <w:bookmarkStart w:id="90" w:name="_Toc26555"/>
      <w:bookmarkStart w:id="91" w:name="_Toc31233"/>
      <w:r>
        <w:rPr>
          <w:rFonts w:hint="eastAsia" w:ascii="仿宋_GB2312"/>
          <w:b/>
          <w:sz w:val="24"/>
        </w:rPr>
        <w:t>2.5 结算方式和付款条件</w:t>
      </w:r>
      <w:bookmarkEnd w:id="81"/>
      <w:bookmarkEnd w:id="82"/>
      <w:bookmarkEnd w:id="83"/>
      <w:bookmarkEnd w:id="84"/>
      <w:bookmarkEnd w:id="85"/>
      <w:bookmarkEnd w:id="87"/>
      <w:bookmarkEnd w:id="88"/>
      <w:bookmarkEnd w:id="89"/>
      <w:bookmarkEnd w:id="90"/>
      <w:bookmarkEnd w:id="91"/>
    </w:p>
    <w:p>
      <w:pPr>
        <w:spacing w:line="360" w:lineRule="auto"/>
        <w:ind w:firstLine="480" w:firstLineChars="200"/>
        <w:rPr>
          <w:rFonts w:ascii="仿宋_GB2312" w:hAnsi="楷体"/>
          <w:sz w:val="24"/>
        </w:rPr>
      </w:pPr>
      <w:r>
        <w:rPr>
          <w:rFonts w:hint="eastAsia" w:ascii="仿宋_GB2312" w:hAnsi="楷体"/>
          <w:sz w:val="24"/>
        </w:rPr>
        <w:t>详见</w:t>
      </w:r>
      <w:r>
        <w:rPr>
          <w:rFonts w:hint="eastAsia" w:ascii="仿宋_GB2312" w:hAnsi="楷体"/>
          <w:b/>
          <w:i/>
          <w:sz w:val="24"/>
          <w:u w:val="single"/>
        </w:rPr>
        <w:t>合同专用条款</w:t>
      </w:r>
      <w:r>
        <w:rPr>
          <w:rFonts w:hint="eastAsia" w:ascii="仿宋_GB2312" w:hAnsi="楷体"/>
          <w:sz w:val="24"/>
        </w:rPr>
        <w:t>。</w:t>
      </w:r>
    </w:p>
    <w:p>
      <w:pPr>
        <w:spacing w:line="360" w:lineRule="auto"/>
        <w:ind w:firstLine="482" w:firstLineChars="200"/>
        <w:rPr>
          <w:rFonts w:ascii="仿宋_GB2312"/>
          <w:b/>
          <w:sz w:val="24"/>
        </w:rPr>
      </w:pPr>
      <w:bookmarkStart w:id="92" w:name="_Toc259093677"/>
      <w:bookmarkStart w:id="93" w:name="_Toc279701248"/>
      <w:bookmarkStart w:id="94" w:name="_Ref467379852"/>
      <w:bookmarkStart w:id="95" w:name="_Toc487900358"/>
      <w:bookmarkStart w:id="96" w:name="_Ref467379923"/>
      <w:bookmarkStart w:id="97" w:name="_Ref467379863"/>
      <w:bookmarkStart w:id="98" w:name="_Toc16163"/>
      <w:bookmarkStart w:id="99" w:name="_Toc13467"/>
      <w:bookmarkStart w:id="100" w:name="_Toc13154"/>
      <w:bookmarkStart w:id="101" w:name="_Toc30507"/>
      <w:bookmarkStart w:id="102" w:name="_Toc18990"/>
      <w:r>
        <w:rPr>
          <w:rFonts w:hint="eastAsia" w:ascii="仿宋_GB2312"/>
          <w:b/>
          <w:sz w:val="24"/>
        </w:rPr>
        <w:t>2.6 技术资料</w:t>
      </w:r>
      <w:bookmarkEnd w:id="92"/>
      <w:bookmarkEnd w:id="93"/>
      <w:bookmarkEnd w:id="94"/>
      <w:bookmarkEnd w:id="95"/>
      <w:bookmarkEnd w:id="96"/>
      <w:bookmarkEnd w:id="97"/>
      <w:r>
        <w:rPr>
          <w:rFonts w:hint="eastAsia" w:ascii="仿宋_GB2312"/>
          <w:b/>
          <w:sz w:val="24"/>
        </w:rPr>
        <w:t>和保密义务</w:t>
      </w:r>
      <w:bookmarkEnd w:id="98"/>
      <w:bookmarkEnd w:id="99"/>
      <w:bookmarkEnd w:id="100"/>
      <w:bookmarkEnd w:id="101"/>
      <w:bookmarkEnd w:id="102"/>
    </w:p>
    <w:p>
      <w:pPr>
        <w:spacing w:line="360" w:lineRule="auto"/>
        <w:ind w:firstLine="480" w:firstLineChars="200"/>
        <w:rPr>
          <w:rFonts w:ascii="仿宋_GB2312" w:hAnsi="楷体"/>
          <w:sz w:val="24"/>
        </w:rPr>
      </w:pPr>
      <w:r>
        <w:rPr>
          <w:rFonts w:hint="eastAsia" w:ascii="仿宋_GB2312" w:hAnsi="楷体"/>
          <w:sz w:val="24"/>
        </w:rPr>
        <w:t>2.6.1 乙方有权依据合同约定和项目需要，向甲方了解有关情况，调阅有关资料等，甲方应予积极配合；</w:t>
      </w:r>
    </w:p>
    <w:p>
      <w:pPr>
        <w:spacing w:line="360" w:lineRule="auto"/>
        <w:ind w:firstLine="480" w:firstLineChars="200"/>
        <w:rPr>
          <w:rFonts w:ascii="仿宋_GB2312" w:hAnsi="楷体"/>
          <w:sz w:val="24"/>
        </w:rPr>
      </w:pPr>
      <w:r>
        <w:rPr>
          <w:rFonts w:hint="eastAsia" w:ascii="仿宋_GB2312" w:hAnsi="楷体"/>
          <w:sz w:val="24"/>
        </w:rPr>
        <w:t>2.6.2 乙方有义务妥善保管和保护由甲方提供的前款信息和资料等；</w:t>
      </w:r>
    </w:p>
    <w:p>
      <w:pPr>
        <w:spacing w:line="360" w:lineRule="auto"/>
        <w:ind w:firstLine="480" w:firstLineChars="200"/>
        <w:rPr>
          <w:rFonts w:ascii="仿宋_GB2312" w:hAnsi="楷体"/>
          <w:sz w:val="24"/>
        </w:rPr>
      </w:pPr>
      <w:r>
        <w:rPr>
          <w:rFonts w:hint="eastAsia" w:ascii="仿宋_GB2312" w:hAnsi="楷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_GB2312"/>
          <w:b/>
          <w:sz w:val="24"/>
        </w:rPr>
      </w:pPr>
      <w:bookmarkStart w:id="103" w:name="_Toc19069"/>
      <w:bookmarkStart w:id="104" w:name="_Toc279701252"/>
      <w:bookmarkStart w:id="105" w:name="_Toc259093681"/>
      <w:bookmarkStart w:id="106" w:name="_Toc487900362"/>
      <w:r>
        <w:rPr>
          <w:rFonts w:hint="eastAsia" w:ascii="仿宋_GB2312"/>
          <w:b/>
          <w:sz w:val="24"/>
        </w:rPr>
        <w:t>2.7 质量保证</w:t>
      </w:r>
      <w:bookmarkEnd w:id="103"/>
    </w:p>
    <w:p>
      <w:pPr>
        <w:spacing w:line="360" w:lineRule="auto"/>
        <w:ind w:firstLine="480" w:firstLineChars="200"/>
        <w:rPr>
          <w:rFonts w:ascii="仿宋_GB2312" w:hAnsi="楷体"/>
          <w:sz w:val="24"/>
        </w:rPr>
      </w:pPr>
      <w:r>
        <w:rPr>
          <w:rFonts w:hint="eastAsia" w:ascii="仿宋_GB2312" w:hAnsi="楷体"/>
          <w:sz w:val="24"/>
        </w:rPr>
        <w:t>2.7.1 乙方应建立和完善履行合同的内部质量保证体系，并提供相关内部规章制度给甲方，以便甲方进行监督检查；</w:t>
      </w:r>
    </w:p>
    <w:p>
      <w:pPr>
        <w:spacing w:line="360" w:lineRule="auto"/>
        <w:ind w:firstLine="480" w:firstLineChars="200"/>
        <w:rPr>
          <w:rFonts w:ascii="仿宋_GB2312" w:hAnsi="楷体"/>
          <w:sz w:val="24"/>
        </w:rPr>
      </w:pPr>
      <w:r>
        <w:rPr>
          <w:rFonts w:hint="eastAsia" w:ascii="仿宋_GB2312" w:hAnsi="楷体"/>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_GB2312"/>
          <w:b/>
          <w:sz w:val="24"/>
        </w:rPr>
      </w:pPr>
      <w:bookmarkStart w:id="107" w:name="_Toc22267"/>
      <w:r>
        <w:rPr>
          <w:rFonts w:hint="eastAsia" w:ascii="仿宋_GB2312"/>
          <w:b/>
          <w:sz w:val="24"/>
        </w:rPr>
        <w:t>2.8 延迟</w:t>
      </w:r>
      <w:bookmarkEnd w:id="104"/>
      <w:bookmarkEnd w:id="105"/>
      <w:bookmarkEnd w:id="106"/>
      <w:r>
        <w:rPr>
          <w:rFonts w:hint="eastAsia" w:ascii="仿宋_GB2312"/>
          <w:b/>
          <w:sz w:val="24"/>
        </w:rPr>
        <w:t>履行</w:t>
      </w:r>
      <w:bookmarkEnd w:id="107"/>
    </w:p>
    <w:p>
      <w:pPr>
        <w:spacing w:line="360" w:lineRule="auto"/>
        <w:ind w:firstLine="480" w:firstLineChars="200"/>
        <w:rPr>
          <w:rFonts w:ascii="仿宋_GB2312" w:hAnsi="楷体"/>
          <w:sz w:val="24"/>
        </w:rPr>
      </w:pPr>
      <w:r>
        <w:rPr>
          <w:rFonts w:hint="eastAsia" w:ascii="仿宋_GB2312" w:hAnsi="楷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_GB2312"/>
          <w:b/>
          <w:sz w:val="24"/>
        </w:rPr>
      </w:pPr>
      <w:bookmarkStart w:id="108" w:name="_Toc10611"/>
      <w:bookmarkStart w:id="109" w:name="_Toc279701254"/>
      <w:bookmarkStart w:id="110" w:name="_Toc487900364"/>
      <w:bookmarkStart w:id="111" w:name="_Toc259093683"/>
      <w:bookmarkStart w:id="112" w:name="_Ref467378121"/>
      <w:r>
        <w:rPr>
          <w:rFonts w:hint="eastAsia" w:ascii="仿宋_GB2312"/>
          <w:b/>
          <w:sz w:val="24"/>
        </w:rPr>
        <w:t>2.9 合同变更</w:t>
      </w:r>
      <w:bookmarkEnd w:id="108"/>
    </w:p>
    <w:p>
      <w:pPr>
        <w:spacing w:line="360" w:lineRule="auto"/>
        <w:ind w:firstLine="480" w:firstLineChars="200"/>
        <w:rPr>
          <w:rFonts w:ascii="仿宋_GB2312" w:hAnsi="楷体"/>
          <w:sz w:val="24"/>
        </w:rPr>
      </w:pPr>
      <w:r>
        <w:rPr>
          <w:rFonts w:hint="eastAsia" w:ascii="仿宋_GB2312" w:hAnsi="楷体"/>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ascii="仿宋_GB2312" w:hAnsi="楷体"/>
          <w:sz w:val="24"/>
        </w:rPr>
      </w:pPr>
      <w:r>
        <w:rPr>
          <w:rFonts w:hint="eastAsia" w:ascii="仿宋_GB2312" w:hAnsi="楷体"/>
          <w:sz w:val="24"/>
        </w:rPr>
        <w:t>2.9.2 合同继续履行将损害国家利益和社会公共利益的，双方当事人应当以书面形式变更合同。有过错的一方应当承担赔偿责任，双方当事人都有过错的，各自承担相应的责任。</w:t>
      </w:r>
      <w:bookmarkStart w:id="113" w:name="_Toc487900369"/>
      <w:bookmarkStart w:id="114" w:name="_Toc279701259"/>
      <w:bookmarkStart w:id="115" w:name="_Toc259093688"/>
    </w:p>
    <w:p>
      <w:pPr>
        <w:spacing w:line="360" w:lineRule="auto"/>
        <w:ind w:firstLine="482" w:firstLineChars="200"/>
        <w:rPr>
          <w:rFonts w:ascii="仿宋_GB2312"/>
          <w:b/>
          <w:sz w:val="24"/>
        </w:rPr>
      </w:pPr>
      <w:bookmarkStart w:id="116" w:name="_Toc26689"/>
      <w:bookmarkStart w:id="117" w:name="_Toc21830"/>
      <w:bookmarkStart w:id="118" w:name="_Toc42"/>
      <w:bookmarkStart w:id="119" w:name="_Toc23368"/>
      <w:bookmarkStart w:id="120" w:name="_Toc10663"/>
      <w:r>
        <w:rPr>
          <w:rFonts w:hint="eastAsia" w:ascii="仿宋_GB2312"/>
          <w:b/>
          <w:sz w:val="24"/>
        </w:rPr>
        <w:t>2.10 合同转让</w:t>
      </w:r>
      <w:bookmarkEnd w:id="113"/>
      <w:bookmarkEnd w:id="114"/>
      <w:bookmarkEnd w:id="115"/>
      <w:r>
        <w:rPr>
          <w:rFonts w:hint="eastAsia" w:ascii="仿宋_GB2312"/>
          <w:b/>
          <w:sz w:val="24"/>
        </w:rPr>
        <w:t>和分包</w:t>
      </w:r>
      <w:bookmarkEnd w:id="116"/>
      <w:bookmarkEnd w:id="117"/>
      <w:bookmarkEnd w:id="118"/>
      <w:bookmarkEnd w:id="119"/>
      <w:bookmarkEnd w:id="120"/>
    </w:p>
    <w:p>
      <w:pPr>
        <w:spacing w:line="360" w:lineRule="auto"/>
        <w:ind w:firstLine="480" w:firstLineChars="200"/>
        <w:rPr>
          <w:rFonts w:ascii="仿宋_GB2312" w:hAnsi="楷体"/>
          <w:sz w:val="24"/>
        </w:rPr>
      </w:pPr>
      <w:r>
        <w:rPr>
          <w:rFonts w:hint="eastAsia" w:ascii="仿宋_GB2312" w:hAnsi="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b/>
          <w:sz w:val="24"/>
        </w:rPr>
      </w:pPr>
      <w:bookmarkStart w:id="121" w:name="_Toc25571"/>
      <w:bookmarkStart w:id="122" w:name="_Toc4720"/>
      <w:bookmarkStart w:id="123" w:name="_Toc26633"/>
      <w:bookmarkStart w:id="124" w:name="_Toc32494"/>
      <w:bookmarkStart w:id="125" w:name="_Toc14371"/>
      <w:r>
        <w:rPr>
          <w:rFonts w:hint="eastAsia" w:ascii="仿宋_GB2312"/>
          <w:b/>
          <w:sz w:val="24"/>
        </w:rPr>
        <w:t>2.11 不可抗力</w:t>
      </w:r>
      <w:bookmarkEnd w:id="121"/>
      <w:bookmarkEnd w:id="122"/>
      <w:bookmarkEnd w:id="123"/>
      <w:bookmarkEnd w:id="124"/>
      <w:bookmarkEnd w:id="125"/>
    </w:p>
    <w:p>
      <w:pPr>
        <w:spacing w:line="360" w:lineRule="auto"/>
        <w:ind w:firstLine="480" w:firstLineChars="200"/>
        <w:rPr>
          <w:rFonts w:ascii="仿宋_GB2312" w:hAnsi="楷体"/>
          <w:sz w:val="24"/>
        </w:rPr>
      </w:pPr>
      <w:r>
        <w:rPr>
          <w:rFonts w:hint="eastAsia" w:ascii="仿宋_GB2312" w:hAnsi="楷体"/>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sz w:val="24"/>
        </w:rPr>
      </w:pPr>
      <w:r>
        <w:rPr>
          <w:rFonts w:hint="eastAsia" w:ascii="仿宋_GB2312" w:hAnsi="楷体"/>
          <w:sz w:val="24"/>
        </w:rPr>
        <w:t>2.11.2 因不可抗力致使不能实现合同目的的，当事人可以解除合同；</w:t>
      </w:r>
    </w:p>
    <w:p>
      <w:pPr>
        <w:spacing w:line="360" w:lineRule="auto"/>
        <w:ind w:firstLine="480" w:firstLineChars="200"/>
        <w:rPr>
          <w:rFonts w:ascii="仿宋_GB2312" w:hAnsi="楷体"/>
          <w:sz w:val="24"/>
        </w:rPr>
      </w:pPr>
      <w:r>
        <w:rPr>
          <w:rFonts w:hint="eastAsia" w:ascii="仿宋_GB2312" w:hAnsi="楷体"/>
          <w:sz w:val="24"/>
        </w:rPr>
        <w:t>2.11.3 因不可抗力致使合同有变更必要的，双方当事人应在</w:t>
      </w:r>
      <w:r>
        <w:rPr>
          <w:rFonts w:hint="eastAsia" w:ascii="仿宋_GB2312" w:hAnsi="楷体"/>
          <w:b/>
          <w:i/>
          <w:sz w:val="24"/>
          <w:u w:val="single"/>
        </w:rPr>
        <w:t>合同专用条款</w:t>
      </w:r>
      <w:r>
        <w:rPr>
          <w:rFonts w:hint="eastAsia" w:ascii="仿宋_GB2312" w:hAnsi="楷体"/>
          <w:sz w:val="24"/>
        </w:rPr>
        <w:t>约定时间内以书面形式变更合同；</w:t>
      </w:r>
    </w:p>
    <w:p>
      <w:pPr>
        <w:spacing w:line="360" w:lineRule="auto"/>
        <w:ind w:firstLine="480" w:firstLineChars="200"/>
        <w:rPr>
          <w:rFonts w:ascii="仿宋_GB2312" w:hAnsi="楷体"/>
          <w:sz w:val="24"/>
        </w:rPr>
      </w:pPr>
      <w:r>
        <w:rPr>
          <w:rFonts w:hint="eastAsia" w:ascii="仿宋_GB2312" w:hAnsi="楷体"/>
          <w:sz w:val="24"/>
        </w:rPr>
        <w:t>2.11.4受不可抗力影响的一方在不可抗力发生后，应在</w:t>
      </w:r>
      <w:r>
        <w:rPr>
          <w:rFonts w:hint="eastAsia" w:ascii="仿宋_GB2312" w:hAnsi="楷体"/>
          <w:b/>
          <w:i/>
          <w:sz w:val="24"/>
          <w:u w:val="single"/>
        </w:rPr>
        <w:t>合同专用条款</w:t>
      </w:r>
      <w:r>
        <w:rPr>
          <w:rFonts w:hint="eastAsia" w:ascii="仿宋_GB2312" w:hAnsi="楷体"/>
          <w:sz w:val="24"/>
        </w:rPr>
        <w:t>约定时间内以书面形式通知对方当事人，并在</w:t>
      </w:r>
      <w:r>
        <w:rPr>
          <w:rFonts w:hint="eastAsia" w:ascii="仿宋_GB2312" w:hAnsi="楷体"/>
          <w:b/>
          <w:i/>
          <w:sz w:val="24"/>
          <w:u w:val="single"/>
        </w:rPr>
        <w:t>合同专用条款</w:t>
      </w:r>
      <w:r>
        <w:rPr>
          <w:rFonts w:hint="eastAsia" w:ascii="仿宋_GB2312" w:hAnsi="楷体"/>
          <w:sz w:val="24"/>
        </w:rPr>
        <w:t>约定时间内，将有关部门出具的证明文件送达对方当事人。</w:t>
      </w:r>
    </w:p>
    <w:p>
      <w:pPr>
        <w:spacing w:line="360" w:lineRule="auto"/>
        <w:ind w:firstLine="482" w:firstLineChars="200"/>
        <w:rPr>
          <w:rFonts w:ascii="仿宋_GB2312"/>
          <w:b/>
          <w:sz w:val="24"/>
        </w:rPr>
      </w:pPr>
      <w:bookmarkStart w:id="126" w:name="_Toc279701255"/>
      <w:bookmarkStart w:id="127" w:name="_Toc259093684"/>
      <w:bookmarkStart w:id="128" w:name="_Toc487900365"/>
      <w:bookmarkStart w:id="129" w:name="_Toc23854"/>
      <w:bookmarkStart w:id="130" w:name="_Toc14115"/>
      <w:bookmarkStart w:id="131" w:name="_Toc24465"/>
      <w:bookmarkStart w:id="132" w:name="_Toc25783"/>
      <w:bookmarkStart w:id="133" w:name="_Toc3638"/>
      <w:r>
        <w:rPr>
          <w:rFonts w:hint="eastAsia" w:ascii="仿宋_GB2312"/>
          <w:b/>
          <w:sz w:val="24"/>
        </w:rPr>
        <w:t>2.12 税费</w:t>
      </w:r>
      <w:bookmarkEnd w:id="126"/>
      <w:bookmarkEnd w:id="127"/>
      <w:bookmarkEnd w:id="128"/>
      <w:bookmarkEnd w:id="129"/>
      <w:bookmarkEnd w:id="130"/>
      <w:bookmarkEnd w:id="131"/>
      <w:bookmarkEnd w:id="132"/>
      <w:bookmarkEnd w:id="133"/>
    </w:p>
    <w:p>
      <w:pPr>
        <w:spacing w:line="360" w:lineRule="auto"/>
        <w:ind w:firstLine="480" w:firstLineChars="200"/>
        <w:rPr>
          <w:rFonts w:ascii="仿宋_GB2312" w:hAnsi="楷体"/>
          <w:sz w:val="24"/>
        </w:rPr>
      </w:pPr>
      <w:r>
        <w:rPr>
          <w:rFonts w:hint="eastAsia" w:ascii="仿宋_GB2312" w:hAnsi="楷体"/>
          <w:sz w:val="24"/>
        </w:rPr>
        <w:t>与合同有关的一切税费，均按照中华人民共和国法律的相关规定缴纳。</w:t>
      </w:r>
    </w:p>
    <w:p>
      <w:pPr>
        <w:spacing w:line="360" w:lineRule="auto"/>
        <w:ind w:firstLine="482" w:firstLineChars="200"/>
        <w:rPr>
          <w:rFonts w:ascii="仿宋_GB2312"/>
          <w:b/>
          <w:sz w:val="24"/>
        </w:rPr>
      </w:pPr>
      <w:bookmarkStart w:id="134" w:name="_Toc26883"/>
      <w:bookmarkStart w:id="135" w:name="_Toc487900368"/>
      <w:bookmarkStart w:id="136" w:name="_Toc7315"/>
      <w:bookmarkStart w:id="137" w:name="_Toc14814"/>
      <w:bookmarkStart w:id="138" w:name="_Toc279701258"/>
      <w:bookmarkStart w:id="139" w:name="_Toc30105"/>
      <w:bookmarkStart w:id="140" w:name="_Toc25525"/>
      <w:bookmarkStart w:id="141" w:name="_Toc259093687"/>
      <w:r>
        <w:rPr>
          <w:rFonts w:hint="eastAsia" w:ascii="仿宋_GB2312"/>
          <w:b/>
          <w:sz w:val="24"/>
        </w:rPr>
        <w:t>2.13 乙方破产</w:t>
      </w:r>
      <w:bookmarkEnd w:id="134"/>
      <w:bookmarkEnd w:id="135"/>
      <w:bookmarkEnd w:id="136"/>
      <w:bookmarkEnd w:id="137"/>
      <w:bookmarkEnd w:id="138"/>
      <w:bookmarkEnd w:id="139"/>
      <w:bookmarkEnd w:id="140"/>
      <w:bookmarkEnd w:id="141"/>
    </w:p>
    <w:p>
      <w:pPr>
        <w:spacing w:line="360" w:lineRule="auto"/>
        <w:ind w:firstLine="480" w:firstLineChars="200"/>
        <w:rPr>
          <w:rFonts w:ascii="仿宋_GB2312" w:hAnsi="楷体"/>
          <w:sz w:val="24"/>
        </w:rPr>
      </w:pPr>
      <w:r>
        <w:rPr>
          <w:rFonts w:hint="eastAsia" w:ascii="仿宋_GB2312" w:hAnsi="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b/>
          <w:sz w:val="24"/>
        </w:rPr>
      </w:pPr>
      <w:bookmarkStart w:id="142" w:name="_Toc1123"/>
      <w:bookmarkStart w:id="143" w:name="_Toc2016"/>
      <w:bookmarkStart w:id="144" w:name="_Toc23323"/>
      <w:r>
        <w:rPr>
          <w:rFonts w:hint="eastAsia" w:ascii="仿宋_GB2312"/>
          <w:b/>
          <w:sz w:val="24"/>
        </w:rPr>
        <w:t>2.14 合同中止、终止</w:t>
      </w:r>
      <w:bookmarkEnd w:id="142"/>
      <w:bookmarkEnd w:id="143"/>
      <w:bookmarkEnd w:id="144"/>
    </w:p>
    <w:p>
      <w:pPr>
        <w:spacing w:line="360" w:lineRule="auto"/>
        <w:ind w:firstLine="480" w:firstLineChars="200"/>
        <w:rPr>
          <w:rFonts w:ascii="仿宋_GB2312" w:hAnsi="楷体"/>
          <w:sz w:val="24"/>
        </w:rPr>
      </w:pPr>
      <w:r>
        <w:rPr>
          <w:rFonts w:hint="eastAsia" w:ascii="仿宋_GB2312" w:hAnsi="楷体"/>
          <w:sz w:val="24"/>
        </w:rPr>
        <w:t>2.14.1 双方当事人不得擅自中止或者终止合同；</w:t>
      </w:r>
    </w:p>
    <w:p>
      <w:pPr>
        <w:spacing w:line="360" w:lineRule="auto"/>
        <w:ind w:firstLine="480" w:firstLineChars="200"/>
        <w:rPr>
          <w:rFonts w:ascii="仿宋_GB2312" w:hAnsi="楷体"/>
          <w:sz w:val="24"/>
        </w:rPr>
      </w:pPr>
      <w:r>
        <w:rPr>
          <w:rFonts w:hint="eastAsia" w:ascii="仿宋_GB2312" w:hAnsi="楷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b/>
          <w:sz w:val="24"/>
        </w:rPr>
      </w:pPr>
      <w:bookmarkStart w:id="145" w:name="_Toc1969"/>
      <w:bookmarkStart w:id="146" w:name="_Toc17363"/>
      <w:bookmarkStart w:id="147" w:name="_Toc14525"/>
      <w:r>
        <w:rPr>
          <w:rFonts w:hint="eastAsia" w:ascii="仿宋_GB2312"/>
          <w:b/>
          <w:sz w:val="24"/>
        </w:rPr>
        <w:t>2.15 检验和验收</w:t>
      </w:r>
      <w:bookmarkEnd w:id="145"/>
      <w:bookmarkEnd w:id="146"/>
      <w:bookmarkEnd w:id="147"/>
    </w:p>
    <w:p>
      <w:pPr>
        <w:tabs>
          <w:tab w:val="left" w:pos="360"/>
          <w:tab w:val="left" w:pos="540"/>
          <w:tab w:val="left" w:pos="1080"/>
        </w:tabs>
        <w:spacing w:line="360" w:lineRule="auto"/>
        <w:ind w:firstLine="480" w:firstLineChars="200"/>
        <w:rPr>
          <w:rFonts w:ascii="仿宋_GB2312" w:hAnsi="楷体"/>
          <w:sz w:val="24"/>
        </w:rPr>
      </w:pPr>
      <w:r>
        <w:rPr>
          <w:rFonts w:hint="eastAsia" w:ascii="仿宋_GB2312" w:hAnsi="楷体"/>
          <w:sz w:val="24"/>
        </w:rPr>
        <w:t>2.15.1 乙方按照</w:t>
      </w:r>
      <w:r>
        <w:rPr>
          <w:rFonts w:hint="eastAsia" w:ascii="仿宋_GB2312" w:hAnsi="楷体"/>
          <w:b/>
          <w:i/>
          <w:sz w:val="24"/>
          <w:u w:val="single"/>
        </w:rPr>
        <w:t>合同专用条款</w:t>
      </w:r>
      <w:r>
        <w:rPr>
          <w:rFonts w:hint="eastAsia" w:ascii="仿宋_GB2312" w:hAnsi="楷体"/>
          <w:sz w:val="24"/>
        </w:rPr>
        <w:t>的约定，定期提交服务报告，甲方按照</w:t>
      </w:r>
      <w:r>
        <w:rPr>
          <w:rFonts w:hint="eastAsia" w:ascii="仿宋_GB2312" w:hAnsi="楷体"/>
          <w:b/>
          <w:i/>
          <w:sz w:val="24"/>
          <w:u w:val="single"/>
        </w:rPr>
        <w:t>合同专用条款</w:t>
      </w:r>
      <w:r>
        <w:rPr>
          <w:rFonts w:hint="eastAsia" w:ascii="仿宋_GB2312" w:hAnsi="楷体"/>
          <w:sz w:val="24"/>
        </w:rPr>
        <w:t>的约定进行定期验收；</w:t>
      </w:r>
    </w:p>
    <w:p>
      <w:pPr>
        <w:tabs>
          <w:tab w:val="left" w:pos="360"/>
          <w:tab w:val="left" w:pos="540"/>
          <w:tab w:val="left" w:pos="1080"/>
        </w:tabs>
        <w:spacing w:line="360" w:lineRule="auto"/>
        <w:ind w:firstLine="480" w:firstLineChars="200"/>
        <w:rPr>
          <w:rFonts w:ascii="仿宋_GB2312" w:hAnsi="楷体"/>
          <w:sz w:val="24"/>
        </w:rPr>
      </w:pPr>
      <w:r>
        <w:rPr>
          <w:rFonts w:hint="eastAsia" w:ascii="仿宋_GB2312" w:hAnsi="楷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_GB2312" w:hAnsi="楷体"/>
          <w:sz w:val="24"/>
        </w:rPr>
      </w:pPr>
      <w:r>
        <w:rPr>
          <w:rFonts w:hint="eastAsia" w:ascii="仿宋_GB2312" w:hAnsi="楷体"/>
          <w:sz w:val="24"/>
        </w:rPr>
        <w:t>2.15.3 检验和验收标准、程序等具体内容以及前述验收书的效力详见</w:t>
      </w:r>
      <w:r>
        <w:rPr>
          <w:rFonts w:hint="eastAsia" w:ascii="仿宋_GB2312" w:hAnsi="楷体"/>
          <w:b/>
          <w:i/>
          <w:sz w:val="24"/>
          <w:u w:val="single"/>
        </w:rPr>
        <w:t>合同专用条款</w:t>
      </w:r>
      <w:r>
        <w:rPr>
          <w:rFonts w:hint="eastAsia" w:ascii="仿宋_GB2312" w:hAnsi="楷体"/>
          <w:i/>
          <w:sz w:val="24"/>
        </w:rPr>
        <w:t>。</w:t>
      </w:r>
    </w:p>
    <w:bookmarkEnd w:id="109"/>
    <w:bookmarkEnd w:id="110"/>
    <w:bookmarkEnd w:id="111"/>
    <w:bookmarkEnd w:id="112"/>
    <w:p>
      <w:pPr>
        <w:spacing w:line="360" w:lineRule="auto"/>
        <w:ind w:firstLine="482" w:firstLineChars="200"/>
        <w:rPr>
          <w:rFonts w:ascii="仿宋_GB2312"/>
          <w:b/>
          <w:sz w:val="24"/>
        </w:rPr>
      </w:pPr>
      <w:bookmarkStart w:id="148" w:name="_Toc259093690"/>
      <w:bookmarkStart w:id="149" w:name="_Toc279701261"/>
      <w:bookmarkStart w:id="150" w:name="_Toc487900371"/>
      <w:bookmarkStart w:id="151" w:name="_Toc31892"/>
      <w:bookmarkStart w:id="152" w:name="_Toc12666"/>
      <w:bookmarkStart w:id="153" w:name="_Toc25198"/>
      <w:bookmarkStart w:id="154" w:name="_Toc9808"/>
      <w:bookmarkStart w:id="155" w:name="_Toc2308"/>
      <w:r>
        <w:rPr>
          <w:rFonts w:hint="eastAsia" w:ascii="仿宋_GB2312"/>
          <w:b/>
          <w:sz w:val="24"/>
        </w:rPr>
        <w:t>2.16 通知</w:t>
      </w:r>
      <w:bookmarkEnd w:id="148"/>
      <w:bookmarkEnd w:id="149"/>
      <w:bookmarkEnd w:id="150"/>
      <w:r>
        <w:rPr>
          <w:rFonts w:hint="eastAsia" w:ascii="仿宋_GB2312"/>
          <w:b/>
          <w:sz w:val="24"/>
        </w:rPr>
        <w:t>和送达</w:t>
      </w:r>
      <w:bookmarkEnd w:id="151"/>
      <w:bookmarkEnd w:id="152"/>
      <w:bookmarkEnd w:id="153"/>
      <w:bookmarkEnd w:id="154"/>
      <w:bookmarkEnd w:id="155"/>
    </w:p>
    <w:p>
      <w:pPr>
        <w:spacing w:line="360" w:lineRule="auto"/>
        <w:ind w:firstLine="480" w:firstLineChars="200"/>
        <w:rPr>
          <w:rFonts w:ascii="仿宋_GB2312" w:hAnsi="楷体"/>
          <w:sz w:val="24"/>
        </w:rPr>
      </w:pPr>
      <w:bookmarkStart w:id="156" w:name="_Toc7073"/>
      <w:bookmarkStart w:id="157" w:name="_Toc29220"/>
      <w:bookmarkStart w:id="158" w:name="_Toc259093691"/>
      <w:bookmarkStart w:id="159" w:name="_Toc279701262"/>
      <w:bookmarkStart w:id="160" w:name="_Toc487900372"/>
      <w:r>
        <w:rPr>
          <w:rFonts w:hint="eastAsia" w:ascii="仿宋_GB2312" w:hAnsi="楷体"/>
          <w:sz w:val="24"/>
        </w:rPr>
        <w:t>2.16.1 任何一方因履行合同而以合同第一部分尾部所列明的</w:t>
      </w:r>
      <w:r>
        <w:rPr>
          <w:rFonts w:hint="eastAsia" w:ascii="仿宋_GB2312" w:hAnsi="楷体"/>
          <w:sz w:val="24"/>
          <w:u w:val="single"/>
        </w:rPr>
        <w:t xml:space="preserve">          </w:t>
      </w:r>
      <w:r>
        <w:rPr>
          <w:rFonts w:hint="eastAsia" w:ascii="仿宋_GB2312" w:hAnsi="楷体"/>
          <w:sz w:val="24"/>
        </w:rPr>
        <w:t>发出的所有通知、文件、材料，均视为已向对方当事人送达；任何一方变更上述送达方式或者地址的，应于</w:t>
      </w:r>
      <w:r>
        <w:rPr>
          <w:rFonts w:hint="eastAsia" w:ascii="仿宋_GB2312" w:hAnsi="楷体"/>
          <w:sz w:val="24"/>
          <w:u w:val="single"/>
        </w:rPr>
        <w:t xml:space="preserve">   </w:t>
      </w:r>
      <w:r>
        <w:rPr>
          <w:rFonts w:hint="eastAsia" w:ascii="仿宋_GB2312" w:hAnsi="楷体"/>
          <w:sz w:val="24"/>
        </w:rPr>
        <w:t>个工作日内书面通知对方当事人，在对方当事人收到有关变更通知之前，变更前的约定送达方式或者地址仍视为有效。</w:t>
      </w:r>
      <w:bookmarkEnd w:id="156"/>
      <w:bookmarkEnd w:id="157"/>
    </w:p>
    <w:p>
      <w:pPr>
        <w:spacing w:line="360" w:lineRule="auto"/>
        <w:ind w:firstLine="480" w:firstLineChars="200"/>
        <w:rPr>
          <w:rFonts w:ascii="仿宋_GB2312" w:hAnsi="楷体"/>
          <w:sz w:val="24"/>
        </w:rPr>
      </w:pPr>
      <w:bookmarkStart w:id="161" w:name="_Toc27674"/>
      <w:bookmarkStart w:id="162" w:name="_Toc18401"/>
      <w:r>
        <w:rPr>
          <w:rFonts w:hint="eastAsia" w:ascii="仿宋_GB2312" w:hAnsi="楷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1"/>
      <w:bookmarkEnd w:id="162"/>
    </w:p>
    <w:bookmarkEnd w:id="158"/>
    <w:bookmarkEnd w:id="159"/>
    <w:bookmarkEnd w:id="160"/>
    <w:p>
      <w:pPr>
        <w:spacing w:line="360" w:lineRule="auto"/>
        <w:ind w:firstLine="482" w:firstLineChars="200"/>
        <w:rPr>
          <w:rFonts w:ascii="仿宋_GB2312"/>
          <w:b/>
          <w:sz w:val="24"/>
        </w:rPr>
      </w:pPr>
      <w:bookmarkStart w:id="163" w:name="_Toc12254"/>
      <w:bookmarkStart w:id="164" w:name="_Toc28906"/>
      <w:bookmarkStart w:id="165" w:name="_Toc20808"/>
      <w:bookmarkStart w:id="166" w:name="_Toc5063"/>
      <w:bookmarkStart w:id="167" w:name="_Toc487900373"/>
      <w:bookmarkStart w:id="168" w:name="_Toc27644"/>
      <w:bookmarkStart w:id="169" w:name="_Toc259093692"/>
      <w:bookmarkStart w:id="170" w:name="_Toc279701263"/>
      <w:r>
        <w:rPr>
          <w:rFonts w:hint="eastAsia" w:ascii="仿宋_GB2312"/>
          <w:b/>
          <w:sz w:val="24"/>
        </w:rPr>
        <w:t>2.17 合同使用的文字和适用的法律</w:t>
      </w:r>
      <w:bookmarkEnd w:id="163"/>
      <w:bookmarkEnd w:id="164"/>
      <w:bookmarkEnd w:id="165"/>
      <w:bookmarkEnd w:id="166"/>
      <w:bookmarkEnd w:id="167"/>
      <w:bookmarkEnd w:id="168"/>
      <w:bookmarkEnd w:id="169"/>
      <w:bookmarkEnd w:id="170"/>
    </w:p>
    <w:p>
      <w:pPr>
        <w:spacing w:line="360" w:lineRule="auto"/>
        <w:ind w:firstLine="480" w:firstLineChars="200"/>
        <w:rPr>
          <w:rFonts w:ascii="仿宋_GB2312" w:hAnsi="楷体"/>
          <w:sz w:val="24"/>
        </w:rPr>
      </w:pPr>
      <w:r>
        <w:rPr>
          <w:rFonts w:hint="eastAsia" w:ascii="仿宋_GB2312" w:hAnsi="楷体"/>
          <w:sz w:val="24"/>
        </w:rPr>
        <w:t>2.17.1 合同使用汉语书就、变更和解释；</w:t>
      </w:r>
    </w:p>
    <w:p>
      <w:pPr>
        <w:spacing w:line="360" w:lineRule="auto"/>
        <w:ind w:firstLine="480" w:firstLineChars="200"/>
        <w:rPr>
          <w:rFonts w:ascii="仿宋_GB2312" w:hAnsi="楷体"/>
          <w:sz w:val="24"/>
        </w:rPr>
      </w:pPr>
      <w:r>
        <w:rPr>
          <w:rFonts w:hint="eastAsia" w:ascii="仿宋_GB2312" w:hAnsi="楷体"/>
          <w:sz w:val="24"/>
        </w:rPr>
        <w:t>2.17.2 合同适用中华人民共和国法律。</w:t>
      </w:r>
    </w:p>
    <w:p>
      <w:pPr>
        <w:spacing w:line="360" w:lineRule="auto"/>
        <w:ind w:firstLine="482" w:firstLineChars="200"/>
        <w:rPr>
          <w:rFonts w:ascii="仿宋_GB2312"/>
          <w:b/>
          <w:sz w:val="24"/>
        </w:rPr>
      </w:pPr>
      <w:bookmarkStart w:id="171" w:name="_Toc1492"/>
      <w:bookmarkStart w:id="172" w:name="_Toc27127"/>
      <w:bookmarkStart w:id="173" w:name="_Toc30096"/>
      <w:bookmarkStart w:id="174" w:name="_Toc22266"/>
      <w:bookmarkStart w:id="175" w:name="_Toc259093693"/>
      <w:bookmarkStart w:id="176" w:name="_Toc27403"/>
      <w:bookmarkStart w:id="177" w:name="_Toc279701264"/>
      <w:bookmarkStart w:id="178" w:name="_Toc487900374"/>
      <w:r>
        <w:rPr>
          <w:rFonts w:hint="eastAsia" w:ascii="仿宋_GB2312"/>
          <w:b/>
          <w:sz w:val="24"/>
        </w:rPr>
        <w:t>2.18 履约保证金</w:t>
      </w:r>
      <w:bookmarkEnd w:id="171"/>
      <w:bookmarkEnd w:id="172"/>
      <w:bookmarkEnd w:id="173"/>
      <w:bookmarkEnd w:id="174"/>
      <w:bookmarkEnd w:id="175"/>
      <w:bookmarkEnd w:id="176"/>
      <w:bookmarkEnd w:id="177"/>
    </w:p>
    <w:p>
      <w:pPr>
        <w:spacing w:line="360" w:lineRule="auto"/>
        <w:ind w:firstLine="480" w:firstLineChars="200"/>
        <w:rPr>
          <w:rFonts w:ascii="仿宋_GB2312" w:hAnsi="楷体"/>
          <w:sz w:val="24"/>
        </w:rPr>
      </w:pPr>
      <w:r>
        <w:rPr>
          <w:rFonts w:hint="eastAsia" w:ascii="仿宋_GB2312" w:hAnsi="楷体"/>
          <w:sz w:val="24"/>
        </w:rPr>
        <w:t>2.18.1 采购文件要求乙方提交履约保证金的，乙方应按</w:t>
      </w:r>
      <w:r>
        <w:rPr>
          <w:rFonts w:hint="eastAsia" w:ascii="仿宋_GB2312" w:hAnsi="楷体"/>
          <w:b/>
          <w:i/>
          <w:sz w:val="24"/>
          <w:u w:val="single"/>
        </w:rPr>
        <w:t>合同专用条款</w:t>
      </w:r>
      <w:r>
        <w:rPr>
          <w:rFonts w:hint="eastAsia" w:ascii="仿宋_GB2312" w:hAnsi="楷体"/>
          <w:sz w:val="24"/>
        </w:rPr>
        <w:t>约定的方式，以支票、汇票、本票或者金融机构、担保机构出具的保函等非现金形式，提交不超过合同价</w:t>
      </w:r>
      <w:r>
        <w:rPr>
          <w:rFonts w:ascii="仿宋_GB2312" w:hAnsi="楷体"/>
          <w:sz w:val="24"/>
        </w:rPr>
        <w:t>1</w:t>
      </w:r>
      <w:r>
        <w:rPr>
          <w:rFonts w:hint="eastAsia" w:ascii="仿宋_GB2312" w:hAnsi="楷体"/>
          <w:sz w:val="24"/>
        </w:rPr>
        <w:t>%的履约保证金；</w:t>
      </w:r>
    </w:p>
    <w:p>
      <w:pPr>
        <w:spacing w:line="360" w:lineRule="auto"/>
        <w:ind w:firstLine="480" w:firstLineChars="200"/>
        <w:rPr>
          <w:rFonts w:ascii="仿宋_GB2312" w:hAnsi="楷体"/>
          <w:sz w:val="24"/>
        </w:rPr>
      </w:pPr>
      <w:r>
        <w:rPr>
          <w:rFonts w:hint="eastAsia" w:ascii="仿宋_GB2312" w:hAnsi="楷体"/>
          <w:sz w:val="24"/>
        </w:rPr>
        <w:t>2.18.2 履约保证金在</w:t>
      </w:r>
      <w:r>
        <w:rPr>
          <w:rFonts w:hint="eastAsia" w:ascii="仿宋_GB2312" w:hAnsi="楷体"/>
          <w:b/>
          <w:i/>
          <w:sz w:val="24"/>
          <w:u w:val="single"/>
        </w:rPr>
        <w:t>合同专用条款</w:t>
      </w:r>
      <w:r>
        <w:rPr>
          <w:rFonts w:hint="eastAsia" w:ascii="仿宋_GB2312" w:hAnsi="楷体"/>
          <w:sz w:val="24"/>
        </w:rPr>
        <w:t>约定期间内不予退还或者应完全有效，前述约定期间届满之日起</w:t>
      </w:r>
      <w:r>
        <w:rPr>
          <w:rFonts w:hint="eastAsia" w:ascii="仿宋_GB2312" w:hAnsi="楷体"/>
          <w:sz w:val="24"/>
          <w:u w:val="single"/>
        </w:rPr>
        <w:t xml:space="preserve">    </w:t>
      </w:r>
      <w:r>
        <w:rPr>
          <w:rFonts w:hint="eastAsia" w:ascii="仿宋_GB2312" w:hAnsi="楷体"/>
          <w:sz w:val="24"/>
        </w:rPr>
        <w:t>个工作日内，甲方应将履约保证金退还乙方；</w:t>
      </w:r>
    </w:p>
    <w:p>
      <w:pPr>
        <w:spacing w:line="360" w:lineRule="auto"/>
        <w:ind w:firstLine="480" w:firstLineChars="200"/>
        <w:rPr>
          <w:rFonts w:ascii="仿宋_GB2312" w:hAnsi="楷体"/>
          <w:sz w:val="24"/>
        </w:rPr>
      </w:pPr>
      <w:r>
        <w:rPr>
          <w:rFonts w:hint="eastAsia" w:ascii="仿宋_GB2312" w:hAnsi="楷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8"/>
    <w:p>
      <w:pPr>
        <w:spacing w:line="360" w:lineRule="auto"/>
        <w:ind w:firstLine="482" w:firstLineChars="200"/>
        <w:rPr>
          <w:rFonts w:ascii="仿宋_GB2312" w:hAnsi="楷体"/>
          <w:b/>
          <w:sz w:val="24"/>
        </w:rPr>
      </w:pPr>
      <w:r>
        <w:rPr>
          <w:rFonts w:hint="eastAsia" w:ascii="仿宋_GB2312" w:hAnsi="楷体"/>
          <w:b/>
          <w:sz w:val="24"/>
        </w:rPr>
        <w:t>2.19 合同份数</w:t>
      </w:r>
    </w:p>
    <w:p>
      <w:pPr>
        <w:spacing w:line="360" w:lineRule="auto"/>
        <w:ind w:firstLine="480" w:firstLineChars="200"/>
        <w:rPr>
          <w:rFonts w:hint="eastAsia" w:ascii="仿宋_GB2312" w:hAnsi="楷体"/>
          <w:sz w:val="24"/>
        </w:rPr>
      </w:pPr>
      <w:r>
        <w:rPr>
          <w:rFonts w:hint="eastAsia" w:ascii="仿宋_GB2312" w:hAnsi="楷体"/>
          <w:sz w:val="24"/>
        </w:rPr>
        <w:t>合同份数按</w:t>
      </w:r>
      <w:r>
        <w:rPr>
          <w:rFonts w:hint="eastAsia" w:ascii="仿宋_GB2312" w:hAnsi="楷体"/>
          <w:b/>
          <w:i/>
          <w:sz w:val="24"/>
          <w:u w:val="single"/>
        </w:rPr>
        <w:t>合同专用条款</w:t>
      </w:r>
      <w:r>
        <w:rPr>
          <w:rFonts w:hint="eastAsia" w:ascii="仿宋_GB2312" w:hAnsi="楷体"/>
          <w:sz w:val="24"/>
        </w:rPr>
        <w:t>规定，每份均具有同等法律效力。</w:t>
      </w:r>
    </w:p>
    <w:p>
      <w:pPr>
        <w:pStyle w:val="5"/>
        <w:spacing w:before="0" w:beforeAutospacing="0" w:after="0" w:afterAutospacing="0" w:line="360" w:lineRule="auto"/>
        <w:ind w:firstLine="482" w:firstLineChars="200"/>
        <w:jc w:val="both"/>
        <w:rPr>
          <w:rFonts w:hint="eastAsia" w:ascii="仿宋_GB2312" w:hAnsi="楷体" w:eastAsia="仿宋_GB2312" w:cs="Times New Roman"/>
          <w:b/>
          <w:kern w:val="2"/>
          <w:sz w:val="24"/>
          <w:szCs w:val="24"/>
          <w:highlight w:val="none"/>
          <w:lang w:val="en-US" w:eastAsia="zh-CN" w:bidi="ar-SA"/>
        </w:rPr>
      </w:pPr>
      <w:r>
        <w:rPr>
          <w:rFonts w:hint="eastAsia" w:ascii="仿宋_GB2312" w:hAnsi="楷体" w:eastAsia="仿宋_GB2312" w:cs="Times New Roman"/>
          <w:b/>
          <w:kern w:val="2"/>
          <w:sz w:val="24"/>
          <w:szCs w:val="24"/>
          <w:highlight w:val="none"/>
          <w:lang w:val="en-US" w:eastAsia="zh-CN" w:bidi="ar-SA"/>
        </w:rPr>
        <w:t>2.20 追加合同</w:t>
      </w:r>
    </w:p>
    <w:p>
      <w:pPr>
        <w:pStyle w:val="5"/>
        <w:spacing w:before="0" w:beforeAutospacing="0" w:after="0" w:afterAutospacing="0" w:line="360" w:lineRule="auto"/>
        <w:ind w:firstLine="480" w:firstLineChars="200"/>
        <w:jc w:val="both"/>
        <w:rPr>
          <w:rFonts w:hint="eastAsia" w:ascii="仿宋_GB2312" w:eastAsia="仿宋_GB2312"/>
          <w:highlight w:val="none"/>
        </w:rPr>
      </w:pPr>
      <w:r>
        <w:rPr>
          <w:rFonts w:hint="eastAsia" w:ascii="仿宋_GB2312" w:eastAsia="仿宋_GB2312"/>
          <w:highlight w:val="none"/>
        </w:rPr>
        <w:t>合同履行中，</w:t>
      </w:r>
      <w:r>
        <w:rPr>
          <w:rFonts w:hint="eastAsia" w:ascii="仿宋_GB2312" w:eastAsia="仿宋_GB2312"/>
          <w:highlight w:val="none"/>
          <w:lang w:val="en-US" w:eastAsia="zh-CN"/>
        </w:rPr>
        <w:t>甲方</w:t>
      </w:r>
      <w:r>
        <w:rPr>
          <w:rFonts w:hint="eastAsia" w:ascii="仿宋_GB2312" w:eastAsia="仿宋_GB2312"/>
          <w:highlight w:val="none"/>
        </w:rPr>
        <w:t>需追加与合同标的相同的货物、工程或者服务的，在不改变合同其他条款的前提下，可以与</w:t>
      </w:r>
      <w:r>
        <w:rPr>
          <w:rFonts w:hint="eastAsia" w:ascii="仿宋_GB2312" w:eastAsia="仿宋_GB2312"/>
          <w:highlight w:val="none"/>
          <w:lang w:val="en-US" w:eastAsia="zh-CN"/>
        </w:rPr>
        <w:t>乙方</w:t>
      </w:r>
      <w:r>
        <w:rPr>
          <w:rFonts w:hint="eastAsia" w:ascii="仿宋_GB2312" w:eastAsia="仿宋_GB2312"/>
          <w:highlight w:val="none"/>
        </w:rPr>
        <w:t>协商签订补充合同，但所有补充合同的采购金额不得超过原合同采购金额的10%。</w:t>
      </w:r>
    </w:p>
    <w:p>
      <w:pPr>
        <w:pStyle w:val="3"/>
        <w:rPr>
          <w:rFonts w:hint="default" w:eastAsia="仿宋_GB2312"/>
          <w:lang w:val="en-US" w:eastAsia="zh-CN"/>
        </w:rPr>
      </w:pPr>
    </w:p>
    <w:p>
      <w:pPr>
        <w:pStyle w:val="9"/>
        <w:spacing w:line="360" w:lineRule="auto"/>
        <w:ind w:firstLine="0"/>
        <w:jc w:val="center"/>
        <w:rPr>
          <w:rFonts w:ascii="仿宋_GB2312" w:hAnsi="楷体" w:eastAsia="仿宋_GB2312"/>
          <w:b/>
          <w:szCs w:val="24"/>
        </w:rPr>
      </w:pPr>
      <w:r>
        <w:rPr>
          <w:rFonts w:hint="eastAsia" w:ascii="仿宋_GB2312" w:hAnsi="楷体" w:eastAsia="仿宋_GB2312"/>
          <w:szCs w:val="24"/>
        </w:rPr>
        <w:br w:type="page"/>
      </w:r>
      <w:bookmarkStart w:id="179" w:name="_Toc331685784"/>
      <w:r>
        <w:rPr>
          <w:rFonts w:hint="eastAsia" w:ascii="仿宋_GB2312" w:hAnsi="楷体" w:eastAsia="仿宋_GB2312"/>
          <w:b/>
          <w:szCs w:val="24"/>
        </w:rPr>
        <w:t>第三部分  合同专用条款</w:t>
      </w:r>
      <w:bookmarkEnd w:id="179"/>
    </w:p>
    <w:p>
      <w:pPr>
        <w:spacing w:line="360" w:lineRule="auto"/>
        <w:ind w:firstLine="480" w:firstLineChars="200"/>
        <w:rPr>
          <w:rFonts w:ascii="仿宋_GB2312" w:hAnsi="楷体"/>
          <w:sz w:val="24"/>
        </w:rPr>
      </w:pPr>
      <w:r>
        <w:rPr>
          <w:rFonts w:hint="eastAsia" w:ascii="仿宋_GB2312" w:hAnsi="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b/>
                <w:sz w:val="24"/>
              </w:rPr>
            </w:pPr>
            <w:r>
              <w:rPr>
                <w:rFonts w:hint="eastAsia" w:ascii="仿宋_GB2312" w:hAnsi="楷体"/>
                <w:b/>
                <w:sz w:val="24"/>
              </w:rPr>
              <w:t>条款号</w:t>
            </w:r>
          </w:p>
        </w:tc>
        <w:tc>
          <w:tcPr>
            <w:tcW w:w="7087" w:type="dxa"/>
            <w:vAlign w:val="center"/>
          </w:tcPr>
          <w:p>
            <w:pPr>
              <w:jc w:val="center"/>
              <w:rPr>
                <w:rFonts w:ascii="仿宋_GB2312" w:hAnsi="楷体"/>
                <w:b/>
                <w:sz w:val="24"/>
              </w:rPr>
            </w:pPr>
            <w:r>
              <w:rPr>
                <w:rFonts w:hint="eastAsia" w:ascii="仿宋_GB2312" w:hAnsi="楷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pPr>
              <w:jc w:val="center"/>
              <w:rPr>
                <w:rFonts w:ascii="仿宋_GB2312" w:hAnsi="楷体"/>
                <w:sz w:val="24"/>
              </w:rPr>
            </w:pPr>
          </w:p>
        </w:tc>
        <w:tc>
          <w:tcPr>
            <w:tcW w:w="7087" w:type="dxa"/>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楷体"/>
                <w:sz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ascii="仿宋_GB2312" w:hAnsi="楷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楷体"/>
                <w:sz w:val="24"/>
              </w:rPr>
            </w:pPr>
          </w:p>
        </w:tc>
        <w:tc>
          <w:tcPr>
            <w:tcW w:w="7087" w:type="dxa"/>
            <w:tcBorders>
              <w:top w:val="single" w:color="auto" w:sz="6" w:space="0"/>
              <w:left w:val="single" w:color="auto" w:sz="6" w:space="0"/>
              <w:bottom w:val="single" w:color="auto" w:sz="6" w:space="0"/>
              <w:right w:val="single" w:color="auto" w:sz="6" w:space="0"/>
            </w:tcBorders>
            <w:vAlign w:val="center"/>
          </w:tcPr>
          <w:p>
            <w:pPr>
              <w:rPr>
                <w:rFonts w:ascii="仿宋_GB2312" w:hAnsi="楷体"/>
                <w:sz w:val="24"/>
              </w:rPr>
            </w:pPr>
          </w:p>
        </w:tc>
      </w:tr>
    </w:tbl>
    <w:p>
      <w:pPr>
        <w:snapToGrid w:val="0"/>
        <w:spacing w:line="360" w:lineRule="auto"/>
        <w:rPr>
          <w:rFonts w:ascii="仿宋_GB2312" w:hAnsi="宋体"/>
          <w:sz w:val="24"/>
        </w:rPr>
      </w:pPr>
    </w:p>
    <w:p>
      <w:pPr>
        <w:snapToGrid w:val="0"/>
        <w:spacing w:line="360" w:lineRule="auto"/>
        <w:rPr>
          <w:rFonts w:ascii="仿宋_GB2312"/>
          <w:sz w:val="24"/>
        </w:rPr>
      </w:pPr>
    </w:p>
    <w:p>
      <w:pPr>
        <w:widowControl/>
        <w:spacing w:line="360" w:lineRule="auto"/>
        <w:rPr>
          <w:rFonts w:ascii="仿宋_GB2312"/>
          <w:b/>
          <w:sz w:val="24"/>
        </w:rPr>
        <w:sectPr>
          <w:pgSz w:w="11906" w:h="16838"/>
          <w:pgMar w:top="1418" w:right="1418" w:bottom="1418" w:left="1418" w:header="851" w:footer="851" w:gutter="0"/>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A0EAC"/>
    <w:rsid w:val="503A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kern w:val="2"/>
      <w:sz w:val="32"/>
      <w:szCs w:val="20"/>
      <w:lang w:val="zh-CN"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next w:val="1"/>
    <w:semiHidden/>
    <w:unhideWhenUsed/>
    <w:qFormat/>
    <w:uiPriority w:val="99"/>
    <w:pPr>
      <w:widowControl w:val="0"/>
      <w:spacing w:after="120"/>
      <w:jc w:val="both"/>
    </w:pPr>
    <w:rPr>
      <w:rFonts w:ascii="Times New Roman" w:hAnsi="Times New Roman" w:eastAsia="仿宋_GB2312" w:cs="Times New Roman"/>
      <w:kern w:val="2"/>
      <w:sz w:val="32"/>
      <w:szCs w:val="24"/>
      <w:lang w:val="en-US" w:eastAsia="zh-CN" w:bidi="ar-SA"/>
    </w:rPr>
  </w:style>
  <w:style w:type="paragraph" w:styleId="4">
    <w:name w:val="Body Text Indent"/>
    <w:qFormat/>
    <w:uiPriority w:val="0"/>
    <w:pPr>
      <w:widowControl w:val="0"/>
      <w:spacing w:before="240"/>
      <w:ind w:firstLine="600"/>
      <w:jc w:val="both"/>
    </w:pPr>
    <w:rPr>
      <w:rFonts w:ascii="Times New Roman" w:hAnsi="Times New Roman" w:eastAsia="仿宋_GB2312" w:cs="Times New Roman"/>
      <w:kern w:val="10"/>
      <w:sz w:val="30"/>
      <w:szCs w:val="20"/>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table" w:styleId="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正文缩进1"/>
    <w:next w:val="4"/>
    <w:qFormat/>
    <w:uiPriority w:val="0"/>
    <w:pPr>
      <w:widowControl w:val="0"/>
      <w:autoSpaceDE w:val="0"/>
      <w:autoSpaceDN w:val="0"/>
      <w:adjustRightInd w:val="0"/>
      <w:ind w:firstLine="420"/>
      <w:jc w:val="left"/>
    </w:pPr>
    <w:rPr>
      <w:rFonts w:ascii="宋体" w:hAnsi="Times New Roman" w:eastAsia="宋体" w:cs="Times New Roman"/>
      <w:kern w:val="2"/>
      <w:sz w:val="24"/>
      <w:szCs w:val="20"/>
      <w:lang w:val="en-US" w:eastAsia="zh-CN" w:bidi="ar-SA"/>
    </w:rPr>
  </w:style>
  <w:style w:type="paragraph" w:customStyle="1" w:styleId="10">
    <w:name w:val="索引 11"/>
    <w:next w:val="1"/>
    <w:qFormat/>
    <w:uiPriority w:val="0"/>
    <w:pPr>
      <w:widowControl w:val="0"/>
      <w:spacing w:line="360" w:lineRule="auto"/>
      <w:jc w:val="both"/>
    </w:pPr>
    <w:rPr>
      <w:rFonts w:ascii="仿宋_GB2312" w:hAnsi="Times New Roman" w:eastAsia="仿宋_GB2312" w:cs="Times New Roman"/>
      <w:kern w:val="2"/>
      <w:sz w:val="24"/>
      <w:szCs w:val="20"/>
      <w:lang w:val="en-US" w:eastAsia="zh-CN" w:bidi="ar-SA"/>
    </w:rPr>
  </w:style>
  <w:style w:type="paragraph" w:customStyle="1" w:styleId="11">
    <w:name w:val="纯文本1"/>
    <w:qFormat/>
    <w:uiPriority w:val="0"/>
    <w:pPr>
      <w:widowControl/>
      <w:jc w:val="left"/>
    </w:pPr>
    <w:rPr>
      <w:rFonts w:ascii="宋体" w:hAnsi="Courier New"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2025-05-16T00:30:00Z</dcterms:created>
  <dc:creator>马精平</dc:creator>
  <cp:lastModifiedBy>马精平</cp:lastModifiedBy>
  <dcterms:modified xsi:type="dcterms:W3CDTF">2025-05-16T00:31:23Z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